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https://www.autoritedelaconcurrence.fr/fr/decision-de-controle-des-concentrations/relative-la-prise-de-controle-exclusif-de-la-societe-impex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23-DCC-45 of March 8, 2023  </w:t>
        <w:br/>
        <w:t xml:space="preserve">regarding the exclusive control acquisition of the company Impex by the company  </w:t>
        <w:br/>
        <w:t xml:space="preserve">DC Expansion  </w:t>
        <w:br/>
        <w:t xml:space="preserve">The Competition Authority,  </w:t>
        <w:br/>
        <w:t xml:space="preserve">Having regard to the complete notification file submitted to the mergers department on February 21, 2023,  </w:t>
        <w:br/>
        <w:t xml:space="preserve">concerning the exclusive control acquisition of the company Impex by the company DC Expansion, formalized  </w:t>
        <w:br/>
        <w:t xml:space="preserve">by a purchase promise dated January 30, 2023;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of the company Impex by the company  </w:t>
        <w:br/>
        <w:t xml:space="preserve">DC Expansion, active in the sector of spare parts supply and wholesale distribution of spare parts and automotive accessories. The operation constitutes  </w:t>
        <w:br/>
        <w:t xml:space="preserve">a concentration within the meaning of Article L. 430-1 of the Commercial Code. Given the turnover achieved by the companies concerned, the operation does not fall under the jurisdiction of  </w:t>
        <w:br/>
        <w:t xml:space="preserve">the European Union. On the other hand, the retail control thresholds mentioned in II of Article L. 430-2 of the Commercial Code are exceeded. This operation  </w:t>
        <w:br/>
        <w:t xml:space="preserve">is therefore subject to the provisions of Articles L. 430-3 and following of the Commercial Code relating  </w:t>
        <w:br/>
        <w:t xml:space="preserve">to 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23-007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