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https://www.autoritedelaconcurrence.fr/fr/decision-de-controle-des-concentrations/relative-la-prise-de-controle-exclusif-de-la-societe-indra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24-DCC-206 of October 11, 2024</w:t>
        <w:br/>
        <w:t>regarding the exclusive control acquisition of the company Indra</w:t>
        <w:br/>
        <w:t>by the company Renault SAS</w:t>
        <w:br/>
        <w:t>The Competition Authority,</w:t>
        <w:br/>
        <w:t>Having regard to the complete notification file submitted to the mergers department on September 6, 2024,</w:t>
        <w:br/>
        <w:t>concerning the exclusive control acquisition of the company Indra by the company Renault SAS formalized</w:t>
        <w:br/>
        <w:t>by an investment agreement signed on July 29,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Having regard to the other documents in the file;</w:t>
        <w:br/>
        <w:t>Adopts the following decision:</w:t>
        <w:br/>
        <w:t>1. The notified operation consists of the acquisition by the company The Future Is NEUTRAL, a subsidiary</w:t>
        <w:br/>
        <w:t>which will be held at [70-80]% by the company Renault SAS, of 100% of the capital of the</w:t>
        <w:br/>
        <w:t>company Indra. The latter is active in the collection and processing of end-of-life vehicles (ELV). Given the turnover achieved by the companies concerned, the operation</w:t>
        <w:br/>
        <w:t>does not fall under the jurisdiction of the European Union. On the other hand, the control thresholds</w:t>
        <w:br/>
        <w:t>mentioned in I of Article L. 430-2 of the Commercial Code are exceeded. This operation</w:t>
        <w:br/>
        <w:t>is therefore subject to the provisions of Articles L. 430-3 and following of the Commercial Code relating</w:t>
        <w:br/>
        <w:t>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24-221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