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https://www.autoritedelaconcurrence.fr/fr/decision-de-controle-des-concentrations/relative-la-prise-de-controle-exclusif-de-la-societe-ineos</w:t>
      </w:r>
    </w:p>
    <w:p>
      <w:r>
        <w:t>Pages translated : 3</w:t>
      </w:r>
    </w:p>
    <w:p/>
    <w:p>
      <w:r>
        <w:rPr>
          <w:b/>
        </w:rPr>
        <w:t>[Pages 1–3]</w:t>
      </w:r>
    </w:p>
    <w:p>
      <w:r>
        <w:t xml:space="preserve">FRENCH REPUBLIC  </w:t>
        <w:br/>
        <w:t xml:space="preserve">Decision No. 13-DCC-174 of December 3, 2013  </w:t>
        <w:br/>
        <w:t xml:space="preserve">regarding the exclusive control of Ineos Champlor by  </w:t>
        <w:br/>
        <w:t>Ineos Enterprises Limited</w:t>
      </w:r>
    </w:p>
    <w:p>
      <w:r>
        <w:t xml:space="preserve">The Competition Authority,  </w:t>
        <w:br/>
        <w:t xml:space="preserve">Having regard to the notification file submitted in full to the merger service on October 25, 2013, regarding the exclusive control of Ineos Champlor by Ineos Enterprises Limited, formalized by a share transfer agreement concluded on October 2, 2013, which was approved by a judgment of the Commercial Court of Bar-le-Duc delivered on October 4, 2013;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Ineos Enterprises Limited (hereinafter "Ineos") is a holding company under English law wholly owned by the Ineos group. Ineos is active in the sectors of manufacturing petrochemical products, specialty chemicals, and petroleum products, through 51 industrial sites spread across 11 countries.  </w:t>
        <w:br/>
        <w:t xml:space="preserve">2. Ineos Champlor is a simplified joint-stock company jointly controlled by Ineos and Colsit, a financial holding company itself controlled by the companies Siclae1 and Thywissen Gmbh. Ineos Champlor is active in the production of biodiesel and its co-products (meal, vegetable oils, and crude glycerin).  </w:t>
        <w:br/>
        <w:t xml:space="preserve">3. According to the terms of a share transfer agreement concluded on October 2, 2013, between Ineos and Colsit, Ineos will acquire all the shares held by Colsit in the capital of Ineos Champlor and will therefore hold, at the end of the operation, 100% of the capital of the latter2.  </w:t>
        <w:br/>
        <w:t xml:space="preserve">1 Holding owned 53.75% by the cooperative group Vivescia.  </w:t>
        <w:br/>
        <w:t>2 Ineos Champlor will, however, maintain commercial ties with [confidential] with Vivescia as well as [confidential] with Thywissen Gmbh [confidential].</w:t>
      </w:r>
    </w:p>
    <w:p>
      <w:r>
        <w:t xml:space="preserve">4. In that it results in the transition from joint control to exclusive control of Ineos Champlor by Ineos, the notified operation constitutes a concentration operation within the meaning of Article L. 430-1 of the Commercial Code.  </w:t>
        <w:br/>
        <w:t>5. The companies concerned together achieve a total worldwide turnover of more than 150 million euros (Ineos: [...] euros for the financial year ending December 31, 2012; Ineos Champlor: [...] euros for the same financial year). Each achieves a turnover in France exceeding 50 million euros (Ineos: [...] euros for the 2012 financial year; Ineos Champlor: [...] euros for the same financial year). Given these turnovers,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6. Ineos Champlor produces and sells biodiesel, meal, and crude glycerin3. Ineos produces and sells mineral diesel. Only the market for the production and sale of biodiesel is therefore concerned by the present operation.  </w:t>
        <w:br/>
        <w:t xml:space="preserve">A. PRODUCT MARKET  </w:t>
        <w:br/>
        <w:t xml:space="preserve">7. Biodiesel is made from vegetable oils (methyl ester of vegetable oils or MEVO), animal fat (methyl ester of animal fat or MEHA), or used frying oil and alcohol. Essentially, biodiesel is sold by producers to oil companies or to large retailers. These resell it as fuel to end consumers.  </w:t>
        <w:br/>
        <w:t xml:space="preserve">8. European and national decision-making practice4 has considered the existence of a specific biodiesel market. It has also considered, without definitively resolving this question, the existence of a broader diesel market that would include biodiesel and mineral diesel, given the technical substitutability between the two fuels, the marketing by oil companies of their diesel separately or mixed with biodiesel, and the correlation between the price of biodiesel and mineral diesel.  </w:t>
        <w:br/>
        <w:t xml:space="preserve">9. In this case, there is no need to conclude on the precise delimitation of these markets, as the competitive analysis remains unchanged regardless of the solution adopted.  </w:t>
        <w:br/>
        <w:t xml:space="preserve">3 Ineos Champlor also produces rapeseed oil, which it largely self-consumes for its diesel production. Only an anecdotal part of its production is sold to third parties ([…] euros in 2012).  </w:t>
        <w:br/>
        <w:t>4 See in particular the decisions of the European Commission COMP/M.5388 – Diester Industrie / Oleon group of January 8, 2009, and COMP/M.3876 of September 30, 2005 – Diester Industrie / Bunge / JV, as well as the decision of the Competition Authority No. 10-DCC-35 of April 21, 2010, regarding the acquisition of control of Saipol by the Sofiproteol group.</w:t>
      </w:r>
    </w:p>
    <w:p>
      <w:r>
        <w:t xml:space="preserve">B. GEOGRAPHICAL MARKET  </w:t>
        <w:br/>
        <w:t xml:space="preserve">10. European and national decision-making practice5 has estimated that the overall diesel market, encompassing biodiesel and mineral diesel, could be at least European in dimension. Regarding a hypothetical biodiesel market, a European or at least regional dimension encompassing the main countries that have implemented a tax exemption policy could be considered.  </w:t>
        <w:br/>
        <w:t>11. In this case, there is no need to conclude on the precise delimitation of these markets, as the competitive analysis remains unchanged regardless of the solution adopted.</w:t>
      </w:r>
    </w:p>
    <w:p>
      <w:r>
        <w:t xml:space="preserve">III. Competitive analysis  </w:t>
        <w:br/>
        <w:t xml:space="preserve">12. The present operation consists of the transition from joint control to exclusive control of Ineos Champlor. On previous occasions, both national and Community competition authorities have emphasized that this change in the nature of control is generally not likely to significantly alter the conditions of competition, except in more complex cases involving parties that were in competition prior to the concentration6.  </w:t>
        <w:br/>
        <w:t xml:space="preserve">13. Furthermore, in this case, Ineos is present in the biodiesel production and sales sector only through Ineos Champlor. The market share of the target in a European biodiesel market is less than [0-5]%. In a global diesel market combining biodiesel and mineral diesel, the combined market share of the parties after the operation would be around [0-5]%. Therefore, the operation is not likely to harm competition in any market regardless of the delimitation adopted.  </w:t>
        <w:br/>
        <w:t>14. In light of the above, the operation is therefore not likely to harm competition.</w:t>
      </w:r>
    </w:p>
    <w:p>
      <w:r>
        <w:t xml:space="preserve">DECIDES  </w:t>
        <w:br/>
        <w:t xml:space="preserve">Sole Article: The operation notified under number 13-188 is authorized.  </w:t>
        <w:br/>
        <w:t xml:space="preserve">The President,  </w:t>
        <w:br/>
        <w:t xml:space="preserve">Bruno Lasserre  </w:t>
        <w:br/>
        <w:t xml:space="preserve">© Competition Authority  </w:t>
        <w:br/>
        <w:t xml:space="preserve">5 Id.  </w:t>
        <w:br/>
        <w:t>6 See in particular, at the national level, the decisions of the Authority No. 11-DCC-34 of February 25, 2011, regarding the acquisition of exclusive control of Ne Varietur by GDF Suez and No. 13-DCC-90 of July 11, 2013, regarding the exclusive control of Monoprix by Casino Guichard-Perrachon, and at the European level, the decision of the European Commission No. COMP/M.5141 KLM/Martinair of December 17,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