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https://www.autoritedelaconcurrence.fr/fr/decision-de-controle-des-concentrations/relative-la-prise-de-controle-exclusif-de-la-societe-inter</w:t>
      </w:r>
    </w:p>
    <w:p>
      <w:r>
        <w:t>Pages translated : 2</w:t>
      </w:r>
    </w:p>
    <w:p/>
    <w:p>
      <w:r>
        <w:rPr>
          <w:b/>
        </w:rPr>
        <w:t>[Pages 1–2]</w:t>
      </w:r>
    </w:p>
    <w:p>
      <w:r>
        <w:t xml:space="preserve">FRENCH REPUBLIC  </w:t>
        <w:br/>
        <w:t xml:space="preserve">Decision No. 18-DCC-37 of March 26, 2018  </w:t>
        <w:br/>
        <w:t xml:space="preserve">regarding the exclusive control acquisition of the company Inter Conseil Holding by Société de Formatique et Financière  </w:t>
        <w:br/>
        <w:t xml:space="preserve">The Competition Authority,  </w:t>
        <w:br/>
        <w:t xml:space="preserve">Having regard to the complete notification file submitted to the mergers department on March 2, 2018, concerning the exclusive control acquisition of the company Inter Conseil Holding by Société de Formatique et Financière, formalized by a letter of intent dated December 14, 2017;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Société de Formatique et Financière ("S2F") of exclusive control of the company Inter Conseil Holding. It constitutes a concentration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  </w:t>
        <w:br/>
        <w:t xml:space="preserve">2. The market concerned by the operation is that of temporary work, which is consistently defined by the decision-making practice of the Competition Authority.  </w:t>
        <w:br/>
        <w:t xml:space="preserve">3. Regardless of the segmentations retained, the combined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18-013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