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https://www.autoritedelaconcurrence.fr/fr/decision-de-controle-des-concentrations/relative-la-prise-de-controle-exclusif-de-la-societe-inv-it</w:t>
      </w:r>
    </w:p>
    <w:p>
      <w:r>
        <w:t>Pages translated : 2</w:t>
      </w:r>
    </w:p>
    <w:p/>
    <w:p>
      <w:r>
        <w:rPr>
          <w:b/>
        </w:rPr>
        <w:t>[Pages 1–2]</w:t>
      </w:r>
    </w:p>
    <w:p>
      <w:r>
        <w:t xml:space="preserve">FRENCH REPUBLIC  </w:t>
        <w:br/>
        <w:t xml:space="preserve">Decision No. 21-DCC-177 of October 6, 2021  </w:t>
        <w:br/>
        <w:t xml:space="preserve">regarding the exclusive control acquisition of the company INV IT by the  </w:t>
        <w:br/>
        <w:t xml:space="preserve">company SPIE ICS  </w:t>
        <w:br/>
        <w:t xml:space="preserve">The Competition Authority,  </w:t>
        <w:br/>
        <w:t xml:space="preserve">Having regard to the complete notification file submitted to the mergers department on September 14, 2021, concerning the exclusive control acquisition of the company INV IT by the company SPIE ICS and formalized by an acquisition contract dated July 23, 2021;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by the company SPIE ICS of the company INV IT active in the sectors of IT services and data centers.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21-183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