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https://www.autoritedelaconcurrence.fr/fr/decision-de-controle-des-concentrations/relative-la-prise-de-controle-exclusif-de-la-societe-isa</w:t>
      </w:r>
    </w:p>
    <w:p>
      <w:r>
        <w:t>Pages translated : 2</w:t>
      </w:r>
    </w:p>
    <w:p/>
    <w:p>
      <w:r>
        <w:rPr>
          <w:b/>
        </w:rPr>
        <w:t>[Pages 1–2]</w:t>
      </w:r>
    </w:p>
    <w:p>
      <w:r>
        <w:t xml:space="preserve">Republic of France  </w:t>
        <w:br/>
        <w:t xml:space="preserve">Decision No. 20-DCC-10 of January 17, 2020  </w:t>
        <w:br/>
        <w:t xml:space="preserve">regarding the exclusive control acquisition of the company Isa Développement  </w:t>
        <w:br/>
        <w:t>by the company Samlion Invest</w:t>
      </w:r>
    </w:p>
    <w:p>
      <w:r>
        <w:t>The Competition Authority,</w:t>
      </w:r>
    </w:p>
    <w:p>
      <w:r>
        <w:t>Having regard to the notification file sent to the mergers department on December 17, 2019, and declared complete on January 6, 2020, concerning the exclusive control acquisition of the company Isa Développement by the company Samlion Invest, formalized by a letter of intent dated October 10, 2019;</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of the company Isa Développement by the company Samlion Invest. It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2. The markets concerned by the operation are those of temporary work, consistently defined by the decision-making practice of the competition authorities.</w:t>
      </w:r>
    </w:p>
    <w:p>
      <w:r>
        <w:t>3. Regardless of the segmentations retained, the combined market shares of the parties are below 25%.</w:t>
      </w:r>
    </w:p>
    <w:p>
      <w: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19-311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