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https://www.autoritedelaconcurrence.fr/fr/decision-de-controle-des-concentrations/relative-la-prise-de-controle-exclusif-de-la-societe-iss-0</w:t>
      </w:r>
    </w:p>
    <w:p>
      <w:r>
        <w:t>Pages translated : 4</w:t>
      </w:r>
    </w:p>
    <w:p/>
    <w:p>
      <w:r>
        <w:rPr>
          <w:b/>
        </w:rPr>
        <w:t>[Pages 1–3]</w:t>
      </w:r>
    </w:p>
    <w:p>
      <w:r>
        <w:t>FRENCH REPUBLIC</w:t>
        <w:br/>
        <w:t>Decision No. 14-DCC-24 of February 24, 2014</w:t>
        <w:br/>
        <w:t>regarding the exclusive control of the company ISS Espaces Verts</w:t>
        <w:br/>
        <w:t>by the company Chequers Partenaires SA</w:t>
        <w:br/>
        <w:t>The Competition Authority,</w:t>
        <w:br/>
        <w:t>Having regard to the notification file submitted in full to the merger service on January 20, 2014,</w:t>
        <w:br/>
        <w:t>regarding the exclusive control of the company ISS Espaces Verts by the company Chequers</w:t>
        <w:br/>
        <w:t>Partenaires, formalized by a preliminary agreement dated December 18, 2013, and a</w:t>
        <w:br/>
        <w:t>purchase promise dated December 19, 2013;</w:t>
        <w:br/>
        <w:t>Having regard to Book IV of the Commercial Code relating to price freedom and competition, and</w:t>
        <w:br/>
        <w:t>notably its Articles L. 430-1 to L. 430-10;</w:t>
        <w:br/>
        <w:t>Having regard to the supplementary elements transmitted by the parties during the investigation;</w:t>
        <w:br/>
        <w:t>Adopts the following decision:</w:t>
        <w:br/>
        <w:t>I. The concerned companies and the operation</w:t>
        <w:br/>
        <w:t>1. Chequers Partenaires (“Chequers”) is a portfolio management company active in the</w:t>
        <w:br/>
        <w:t>field of private equity and specialized in LBO operations. Chequers manages various venture capital funds that invest in "mid-cap" companies active in a wide variety of economic sectors, among which is the FCPR Chequers Capital XVI involved in the present operation. The capital of Chequers Partenaires is held at [confidential].</w:t>
        <w:br/>
        <w:t>2. Among the activities in which the funds it manages hold stakes, Chequers jointly controls, alongside the company AuGéFi, the company ECT, primarily active in the sector of the management and storage of inert waste and, to a marginal extent, in the sector of the development and maintenance of green spaces.</w:t>
        <w:br/>
        <w:t>1 See the decision of the Competition Authority No. 11-DCC-132 of August 30, 2011, regarding the joint control of the ECT group by Chequers Partenaires.</w:t>
      </w:r>
    </w:p>
    <w:p>
      <w:r>
        <w:t>3. ISS Espaces Verts is a simplified joint-stock company primarily active in the sector of creating and maintaining green spaces for public and private clients (excluding individuals). It also engages in activities related to the creation and maintenance of urban spaces, sports facilities, recreational areas, and various peripheral activities related to green spaces. ISS Espaces Verts has a network of 42 agencies in France.</w:t>
        <w:br/>
        <w:t>4. The notified operation consists of the acquisition of the entire capital and voting rights of ISS Espaces Verts by Newco, a company newly created for this purpose, whose capital will be jointly held by FCPR Chequers Capital XVI and certain executives of ISS Espaces Verts. The capital of Newco will be majority-owned by Chequers with a stake of approximately […] %. Furthermore, the preliminary agreement provides that Newco will include a management board and a supervisory committee. The management board of Newco will be composed of members appointed and revocable at will by the supervisory committee, which must also approve certain strategic decisions [confidential]. The supervisory committee will consist of […] members in total, […] members representing Chequers and […] independent members designated by Chequers in consultation with the executive shareholders of ISS Espaces Verts. However, the aforementioned preliminary agreement states that the chairman of the supervisory committee will be appointed by the members representing Chequers and will have a casting vote in the event of a tie.</w:t>
        <w:br/>
        <w:t>5. In light of the above, the notified operation consists of the exclusive control of ISS Espaces Verts by Chequers. It therefore constitutes a concentration operation within the meaning of Article L. 430-1 of the Commercial Code.</w:t>
        <w:br/>
        <w:t>6. The concerned companies together achieve a total worldwide turnover of over 150 million euros (Chequers: […] euros for the fiscal year ending December 31, 2012; ISS Espaces Verts: […] euros for the same fiscal year). Each of the concerned companies generates, in France, a turnover exceeding 50 million euros (Chequers: […] euros for the fiscal year ending December 31, 2012; ISS Espaces Verts: […] euros for the same fiscal year). Given these turnover figures,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br/>
        <w:t>II. Definition of the relevant markets</w:t>
        <w:br/>
        <w:t>7. The main activity of ECT consists of collecting, storing, and/or processing non-hazardous waste (household waste and inert waste). Its clients in the inert waste sector are primarily companies in the construction and public works sector. In the household waste sector, its clients are local authorities. It also engages in a more marginal activity of land decontamination, rehabilitation of abandoned quarries, and creation and maintenance of green spaces.</w:t>
        <w:br/>
        <w:t>8. The main activity of ISS Espaces Verts consists of the creation and maintenance of green spaces. It also engages to a marginal extent in activities related to the creation and maintenance of urban spaces, sports facilities, recreational areas, as well as peripheral activities related to green spaces.</w:t>
      </w:r>
    </w:p>
    <w:p>
      <w:r>
        <w:t>9. Consequently, the effects of the operation will be examined in the sector of the creation and management of green spaces.</w:t>
        <w:br/>
        <w:t>10. The notifying party considers that the activities of creating green spaces should be distinguished from those of their maintenance. It indicates that the activity of creating green spaces is subject to occasional requests from clients, whereas the demand for maintenance of green spaces is continuous. Creation contracts are one-time contracts with a limited duration, whereas maintenance contracts can be multi-annual. The notifying party also emphasizes that the demand for maintenance services comes from both private and public clients, whereas the demand for the creation of green spaces mainly comes from public purchasers such as local authorities. On the supply side, the notifying party indicates that while companies active in creation are also capable of providing maintenance services for green spaces, there are also specialist maintenance activities that do not intervene at the creation stage. Finally, the notifying party proposes to distinguish private clientele from public clientele, the latter resorting to calls for tenders for the selection of their suppliers.</w:t>
        <w:br/>
        <w:t>11. In this case, ISS Espaces Verts offers its services to local authorities and private sector companies, whereas ECT only offers them to local public authorities.</w:t>
        <w:br/>
        <w:t>12. Regarding the geographical delimitation, the notifying party considers that the markets for the creation and maintenance of green spaces are of regional dimension for both logistical and economic reasons, as companies must have agencies close to the sites. However, it emphasizes that some large private groups may enter into framework contracts for maintenance services across different sites. Thus, the market for the maintenance of green spaces for private clients (excluding individuals) could have a suprarregional or even national dimension.</w:t>
        <w:br/>
        <w:t>13. In this case, the parties to the operation are simultaneously active in the Île-de-France region.</w:t>
        <w:br/>
        <w:t>14. In any case, the question of the exact delimitation of the market for the creation of green spaces can be left open as the conclusions of the competitive analysis would remain unchanged regardless of the delimitation retained.</w:t>
        <w:br/>
        <w:t>III. Competitive analysis</w:t>
        <w:br/>
        <w:t>15. The parties to the operation are simultaneously active in the Île-de-France region, where they estimate their combined market share at [10-20]% in the overall market for the creation of green spaces and at [10-20]% in the market for public clients, with a very low increment in market share, given the marginal nature of this activity for ECT.</w:t>
        <w:br/>
        <w:t>16. Regarding the maintenance of green spaces, the combined market share of the parties is estimated at [10-20]% in the overall maintenance market and at [10-20]% in the maintenance market for public clients, with a similarly very limited market share increment.</w:t>
      </w:r>
    </w:p>
    <w:p>
      <w:r>
        <w:rPr>
          <w:b/>
        </w:rPr>
        <w:t>[Pages 4–4]</w:t>
      </w:r>
    </w:p>
    <w:p>
      <w:r>
        <w:t>17. The new entity will continue to face numerous competitors, whether they are operators integrated into a network (such as Atalian or Segex) or local SMEs.</w:t>
      </w:r>
    </w:p>
    <w:p>
      <w:r>
        <w:t>18. In light of the above, the notified operation is not likely to harm competition in the markets for the creation and maintenance of green spaces.</w:t>
      </w:r>
    </w:p>
    <w:p>
      <w:r>
        <w:t>DECIDES</w:t>
      </w:r>
    </w:p>
    <w:p>
      <w:r>
        <w:t>Sole Article: The notified operation under number 13-252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