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https://www.autoritedelaconcurrence.fr/fr/decision-de-controle-des-concentrations/relative-la-prise-de-controle-exclusif-de-la-societe-iss-2</w:t>
      </w:r>
    </w:p>
    <w:p>
      <w:r>
        <w:t>Pages translated : 2</w:t>
      </w:r>
    </w:p>
    <w:p/>
    <w:p>
      <w:r>
        <w:rPr>
          <w:b/>
        </w:rPr>
        <w:t>[Pages 1–2]</w:t>
      </w:r>
    </w:p>
    <w:p>
      <w:r>
        <w:t xml:space="preserve">FRENCH REPUBLIC  </w:t>
        <w:br/>
        <w:t xml:space="preserve">Decision No. 19-DCC-200 of October 30, 2019  </w:t>
        <w:br/>
        <w:t xml:space="preserve">regarding the exclusive control acquisition of the company  </w:t>
        <w:br/>
        <w:t xml:space="preserve">ISS Hygiène &amp; Prévention SAS by the company Weinberg Capital  </w:t>
        <w:br/>
        <w:t xml:space="preserve">Partners  </w:t>
        <w:br/>
        <w:t xml:space="preserve">The Competition Authority,  </w:t>
        <w:br/>
        <w:t xml:space="preserve">Having regard to the complete notification file submitted to the mergers department on October 10, 2019,  </w:t>
        <w:br/>
        <w:t xml:space="preserve">concerning the exclusive control acquisition of the company ISS Hygiène &amp; Prévention SAS by the company  </w:t>
        <w:br/>
        <w:t xml:space="preserve">Weinberg Capital Partners, and formalized by a purchase agreement dated September 3, 2019;  </w:t>
        <w:br/>
        <w:t xml:space="preserve">Having regard to Book IV of the Commercial Code relating to the freedom of prices and competition, and  </w:t>
        <w:br/>
        <w:t xml:space="preserve">notably its Articles L. 430-1 to L. 430-7;  </w:t>
        <w:br/>
        <w:t xml:space="preserve">Having regard to the elements submitted during the investigation;  </w:t>
        <w:br/>
        <w:t xml:space="preserve">Adopts the following decision:  </w:t>
        <w:br/>
        <w:t xml:space="preserve">1. The notified operation consists of the exclusive control acquisition of the company ISS Hygiène &amp;  </w:t>
        <w:br/>
        <w:t xml:space="preserve">Prévention SAS by the company Weinberg Capital Partners, through its professional private equity fund WCP#3. The company ISS Hygiène &amp; Prévention SAS is active in the sectors of climate engineering and air hygiene, sanitation, fire protection, and pest control. The operation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19-237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