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https://www.autoritedelaconcurrence.fr/fr/decision-de-controle-des-concentrations/relative-la-prise-de-controle-exclusif-de-la-societe-ital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12-DCC-07 of January 24, 2012  </w:t>
        <w:br/>
        <w:t xml:space="preserve">regarding the exclusive control acquisition of Ital Car by  </w:t>
        <w:br/>
        <w:t xml:space="preserve">International Metropolitan Automotives Promotion France  </w:t>
        <w:br/>
        <w:t xml:space="preserve">The Competition Authority,  </w:t>
        <w:br/>
        <w:t xml:space="preserve">Having regard to the notification file sent to the mergers department on December 13, 2011, and  </w:t>
        <w:br/>
        <w:t xml:space="preserve">declared complete on January 11, 2012, concerning the exclusive control acquisition of Ital Car  </w:t>
        <w:br/>
        <w:t xml:space="preserve">by International Metropolitan Automotives Promotion France ("Intermap"),  </w:t>
        <w:br/>
        <w:t xml:space="preserve">materialized by a conditional sale promise signed on  </w:t>
        <w:br/>
        <w:t xml:space="preserve">December 20,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Ital Car, which operates  </w:t>
        <w:br/>
        <w:t xml:space="preserve">a Fiat brand dealership located in the city of Ourvault (44), by Intermap,  </w:t>
        <w:br/>
        <w:t xml:space="preserve">which operates dealerships for brands of the Fiat group in the departments of Isère,  </w:t>
        <w:br/>
        <w:t xml:space="preserve">Manche, Nord, Rhône, Paris, Yvelines, Hauts-de-Seine, Seine-Saint-Denis, and Alpes-Maritimes.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retail trade control thresholds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11-243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