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https://www.autoritedelaconcurrence.fr/fr/decision-de-controle-des-concentrations/relative-la-prise-de-controle-exclusif-de-la-societe-itl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20-DCC-42 of March 13, 2020  </w:t>
        <w:br/>
        <w:t xml:space="preserve">regarding the exclusive control acquisition of ITL by the Société Générale group  </w:t>
        <w:br/>
        <w:t xml:space="preserve">The Competition Authority,  </w:t>
        <w:br/>
        <w:t xml:space="preserve">Having regard to the complete notification file submitted to the mergers department on February 10, 2020,  </w:t>
        <w:br/>
        <w:t xml:space="preserve">concerning the exclusive control acquisition of ITL by the Société Générale group formalized  </w:t>
        <w:br/>
        <w:t xml:space="preserve">by a transfer agreement dated January 21,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by the Société Générale group,  </w:t>
        <w:br/>
        <w:t xml:space="preserve">via its subsidiary Franfinance, of the company Ingénierie Technique et Location. It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the  </w:t>
        <w:br/>
        <w:t xml:space="preserve">European Union. However, the control thresholds mentioned in I of Article L. 430-2 of the  </w:t>
        <w:br/>
        <w:t xml:space="preserve">Commercial Code are exceeded. This operation is therefore subject to the provisions of Articles L.  </w:t>
        <w:br/>
        <w:t xml:space="preserve">430-3 and following of the Commercial Code relating to economic concentration.  </w:t>
        <w:br/>
        <w:t xml:space="preserve">2. The markets concerned by the operation are the market for leasing financing of movable goods  </w:t>
        <w:br/>
        <w:t xml:space="preserve">for professionals and the market for insurance products, which are consistently defined by the  </w:t>
        <w:br/>
        <w:t xml:space="preserve">decision-making practice of the Competition Authority.  </w:t>
        <w:br/>
        <w:t xml:space="preserve">3. Regardless of the segmentations retained, the estimated market shares of the parties are  </w:t>
        <w:br/>
        <w:t xml:space="preserve">below 25%.  </w:t>
        <w:br/>
        <w:t xml:space="preserve">4. Given the elements of the file and notably point 384 of the guidelines of the Competition  </w:t>
        <w:br/>
        <w:t xml:space="preserve">Authority relating to the control of concentrations, the operation is not likely to harm  </w:t>
        <w:br/>
        <w:t>competition.</w:t>
      </w:r>
    </w:p>
    <w:p>
      <w:r>
        <w:t xml:space="preserve">DECIDES  </w:t>
        <w:br/>
        <w:t xml:space="preserve">Sole Article: The operation notified under number 20-030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