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https://www.autoritedelaconcurrence.fr/fr/decision-de-controle-des-concentrations/relative-la-prise-de-controle-exclusif-de-la-societe-j3l</w:t>
      </w:r>
    </w:p>
    <w:p>
      <w:r>
        <w:t>Pages translated : 6</w:t>
      </w:r>
    </w:p>
    <w:p/>
    <w:p>
      <w:r>
        <w:rPr>
          <w:b/>
        </w:rPr>
        <w:t>[Pages 1–3]</w:t>
      </w:r>
    </w:p>
    <w:p>
      <w:r>
        <w:t>FRENCH REPUBLIC</w:t>
        <w:br/>
        <w:t>Decision No. 20-DCC-83 of July 13, 2020</w:t>
        <w:br/>
        <w:t>regarding the exclusive control of the company J3L by CHP2</w:t>
        <w:br/>
        <w:t>The Competition Authority,</w:t>
        <w:br/>
        <w:t>Having regard to the notification file submitted in full to the mergers service on June 16, 2020, regarding the exclusive control of the company J3L by the company CHP2, formalized by a letter of agreement and a share purchase agreement signed by the parties on May 27, 2020;</w:t>
        <w:br/>
        <w:t>Having regard to Book IV of the Commercial Code relating to price freedom and competition, and in particular its Articles L. 430-1 to L. 430-7;</w:t>
        <w:br/>
        <w:t>Having regard to the supplementary elements transmitted by the notifying party during the investigation;</w:t>
        <w:br/>
        <w:t>Adopts the following decision:</w:t>
      </w:r>
    </w:p>
    <w:p>
      <w:r>
        <w:t>I. The Companies Involved and the Transaction</w:t>
        <w:br/>
        <w:t>1. CHP2 is a simplified joint-stock company wholly owned by Hermès International, the parent company of the Hermès group (hereinafter "Hermès"). The latter is active in the manufacturing and marketing of luxury products, notably leather goods, saddlery, clothing, and accessories. Hermès International is exclusively controlled by the Hermès family group.</w:t>
        <w:br/>
        <w:t>2. The company J3L (hereinafter, "the target") is a simplified joint-stock company specializing in the development and manufacturing of high-end metal parts for luxury companies (primarily leather goods manufacturers), intended to be mounted, notably, on handbags, briefcases, wallets, or shoes. Before the transaction, the capital of the company J3L is held by CHP2, to the extent of 30%, and, directly or indirectly, by Messrs. Serge Locatelli and Jean-Marie Cloix and their respective families, to the extent of 70%.</w:t>
        <w:br/>
        <w:t>3. The proposed transaction consists of the acquisition, by CHP2, of the 70% of the capital and voting rights of J3L currently held by Messrs. Serge Locatelli and Jean-Marie Cloix and their respective families; thus, after the transaction, CHP2 will hold the entirety of the capital and voting rights of the target and will therefore exercise exclusive control over the target.</w:t>
        <w:br/>
        <w:t>4. Insofar as it results in the exclusive control of J3L by CHP2, this transaction constitutes a concentration within the meaning of Article L. 430-1 of the Commercial Code.</w:t>
        <w:br/>
        <w:t>5. The companies involved together achieve a total worldwide turnover of more than 150 million euros (Hermès: 6,883 million euros for the fiscal year ending December 31, 2019; J3L: 86.1 million euros for the fiscal year ending December 31, 2019). Each of these companies achieves, in France, a turnover exceeding 50 million euros (Hermès: [≥50] million euros for the fiscal year ending December 31, 2019; J3L: [≥50] million euros for the fiscal year ending December 31, 2019). Given these turnover figures, the transaction does not have a European dimension. However, the control thresholds mentioned in I of Article L. 430-2 of the Commercial Code are exceeded. This transaction is therefore subject to the provisions of Articles L. 430-3 and following of the Commercial Code, relating to economic concentration.</w:t>
      </w:r>
    </w:p>
    <w:p>
      <w:r>
        <w:t>II. Definition of the Relevant Markets</w:t>
        <w:br/>
        <w:t>6. Hermès is active in the market for the production and marketing of luxury products (A). The target, J3L, produces high-end metal parts that have undergone specific treatments (B). These parts are primarily used by luxury house manufacturers for leather goods and, more marginally, for shoes, creating a vertical relationship between these two markets.</w:t>
      </w:r>
    </w:p>
    <w:p>
      <w:r>
        <w:t>A. THE MARKET FOR THE PRODUCTION AND MARKETING OF LUXURY PRODUCTS</w:t>
        <w:br/>
        <w:t>7. Luxury products are high-quality items sold at a relatively high price and marketed under a prestigious brand; they therefore belong to a different market from other products.</w:t>
        <w:br/>
        <w:t>8. European decision-making practice has considered, within the luxury products market, a segmentation between a) clothing and leather accessories, b) perfumes and cosmetic products, and c) watches and jewelry.</w:t>
        <w:br/>
        <w:t>9. The most recent European decision-making practice has also considered the existence of a market for luxury leather products, within which several categories of products could be identified: a) men's bags, b) women's bags, c) leather accessories for men, d) leather accessories for women, e) men's shoes, and f) women's shoes. A potential market for small leather accessories (wallets, card holders, etc.) has also been considered by the European Commission.</w:t>
        <w:br/>
        <w:t>10. Only Hermès is active in the markets for the production and marketing of luxury products.</w:t>
        <w:br/>
        <w:t>11. Regarding the geographical definition of the markets for the production and marketing of luxury products, the European Commission's decision-making practice has left it open while noting that they could be of national, European, or global dimension.</w:t>
        <w:br/>
        <w:t>12. According to the notifying party, these markets are of global dimension or at least the size of the European Economic Area (EEA).</w:t>
        <w:br/>
        <w:t>13. In any case, in this instance, the exact definition of the markets for the production and marketing of luxury products can be left open, as the conclusions of the competitive analysis remain unchanged, regardless of the hypothesis adopted.</w:t>
      </w:r>
    </w:p>
    <w:p>
      <w:r>
        <w:t>B. THE MARKET FOR THE PRODUCTION AND MARKETING OF HIGH-END METAL PARTS</w:t>
        <w:br/>
        <w:t>14. J3L manufactures high-end metal parts of various types: clasps, buckles, carabiners, padlocks, snap buttons, or eyelets.</w:t>
        <w:br/>
        <w:t>15. These parts are primarily intended for market players in the production and marketing of luxury products, which use them notably to manufacture leather goods, such as bags, luggage, or wallets, as well as fashion items, such as shoes.</w:t>
        <w:br/>
        <w:t>16. The notifying party believes that these parts all belong to a single market, as they share a single main function: the ornamentation of luxury products.</w:t>
      </w:r>
    </w:p>
    <w:p>
      <w:r>
        <w:rPr>
          <w:b/>
        </w:rPr>
        <w:t>[Pages 4–6]</w:t>
      </w:r>
    </w:p>
    <w:p>
      <w:r>
        <w:t>17. A segmentation based on the type of part or the type of product on which these parts are mounted (bags, accessories, or shoes, for example) would not be relevant, according to the notifying party, since market players would be able to produce all kinds of parts, and for all types of final products. The investigation largely confirmed this point. For example, the "Kelly" clasp from Hermès is found on different final products (shoes, bags, wallets, or even belts).</w:t>
      </w:r>
    </w:p>
    <w:p>
      <w:r>
        <w:t>18. However, it emerges from the information provided by the notifying party that a segmentation of this market according to the different stages of the manufacturing process of metal parts could be relevant in this case. The notifying party identifies four stages: stamping, machining, polishing, and surface treatment (or electroplating). Stamping involves the deformation of metal, and J3L does not engage in this activity. Machining, or die-making, involves the technical design of the product in factories. Polishing prepares the part for finishing. Finally, surface treatment involves the application of a layer of gold or palladium (and/or a lacquer) to beautify and protect the parts.</w:t>
      </w:r>
    </w:p>
    <w:p>
      <w:r>
        <w:t>19. The investigation showed that these different stages of metal treatment are part of a global process for producing high-quality metal parts and are not substitutable for one another but, on the contrary, are complementary. The notifying party indicated that some market players may specialize in one or another of these activities, but also identified operators active across all these manufacturing stages, including companies that also supply metal parts on behalf of Hermès.</w:t>
      </w:r>
    </w:p>
    <w:p>
      <w:r>
        <w:t>20. In this case, the analysis will be conducted on a single market for the production and commercialization of high-end metal parts, without segmentation based on the type of parts or the type of product on which these parts are mounted. The existence of a market segmentation according to the stages of the manufacturing process of the parts is a question that can be left open, as the conclusions of the competitive analysis remain unchanged regardless of the hypothesis adopted.</w:t>
      </w:r>
    </w:p>
    <w:p>
      <w:r>
        <w:t>21. The notifying party further considers that the market for the production and commercialization of high-end metal parts is of a global dimension, or at least of the size of the European Economic Area (EEA).</w:t>
      </w:r>
    </w:p>
    <w:p>
      <w:r>
        <w:t>22. Indeed, it emerges from the information provided by the notifying party that, on the one hand, Hermès sources from predominantly French or European players (generally bordering France) and that, on the other hand, the target itself has factories located outside France, but still in Europe, specifically in Portugal.</w:t>
      </w:r>
    </w:p>
    <w:p>
      <w:r>
        <w:t>23. In this case, there is no need to rule on the European or global dimension of the market for the production and commercialization of high-end metal parts, as the conclusions of the competitive analysis remain unchanged, regardless of the hypothesis adopted.</w:t>
      </w:r>
    </w:p>
    <w:p>
      <w:r>
        <w:t>III. Competitive Analysis</w:t>
      </w:r>
    </w:p>
    <w:p>
      <w:r>
        <w:t>24. In the absence of any overlap in activity between the acquirer and the target, the transaction does not produce any horizontal effects. Furthermore, the parties are not active in related markets, thus the transaction does not produce any conglomerate effect. However, there is a vertical relationship between the parties, as Hermès sources metal parts from J3L to manufacture its luxury products.</w:t>
      </w:r>
    </w:p>
    <w:p>
      <w:r>
        <w:t>25. A vertical concentration can restrict competition by making access to the markets in which the new entity will be active more difficult,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26. However, decision-making practice generally considers that a risk of vertical effect can be ruled out as long as the market share of the company resulting from the transaction in the relevant markets does not exceed 30%.</w:t>
      </w:r>
    </w:p>
    <w:p>
      <w:r>
        <w:t>27. Upstream, in the markets for the production and commercialization of high-end metal parts, the notifying party estimates that J3L's market share cannot exceed [10-20]% in the case of a global market, or 25% in the case where the existence of segmented markets by types of activities on metal is retained.</w:t>
      </w:r>
    </w:p>
    <w:p>
      <w:r>
        <w:t>28. After the transaction, several suppliers of metal parts will continue to be active in the metal parts markets and will remain credible alternatives to J3L for luxury houses, including Leo France, Silvant, or FM Industrie Sycrilor. Suppliers other than J3L represent a larger proportion of Hermès' purchases of high-end metal parts than J3L.</w:t>
      </w:r>
    </w:p>
    <w:p>
      <w:r>
        <w:t>29. The notifying party also notes that companies from other continents (notably Chinese) contribute to the intensification of competitive pressure on French and European players in the high-end metal parts market.</w:t>
      </w:r>
    </w:p>
    <w:p>
      <w:r>
        <w:t>30. Downstream, in the markets for the production and commercialization of luxury products, Hermès has market shares below 20% regardless of the segmentation retained.</w:t>
      </w:r>
    </w:p>
    <w:p>
      <w:r>
        <w:t>31. Hermès faces competition in the considered markets, particularly for leather goods, from major players in the luxury industry, including global groups such as LVMH (notably Louis Vuitton and Christian Dior), Kering (notably Gucci), or Chanel.</w:t>
      </w:r>
    </w:p>
    <w:p>
      <w:r>
        <w:t>32. It should finally be noted that J3L's activity is already highly integrated with that of Hermès, as Hermès accounts for more than three-quarters of J3L's annual revenue.</w:t>
      </w:r>
    </w:p>
    <w:p>
      <w:r>
        <w:t>33. It follows from the above that the notified transaction is not likely to harm competition through vertical effects in the analyzed markets.</w:t>
      </w:r>
    </w:p>
    <w:p>
      <w:r>
        <w:t>DECIDES</w:t>
      </w:r>
    </w:p>
    <w:p>
      <w:r>
        <w:t>Sole Article: The transaction notified under number 20-083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