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https://www.autoritedelaconcurrence.fr/fr/decision-de-controle-des-concentrations/relative-la-prise-de-controle-exclusif-de-la-societe-jacadi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26-DCC-106 of April 28, 2026  </w:t>
        <w:br/>
        <w:t xml:space="preserve">regarding the exclusive control acquisition of the company Jacadi by the Deveaux group  </w:t>
        <w:br/>
        <w:t xml:space="preserve">The Competition Authority,  </w:t>
        <w:br/>
        <w:t xml:space="preserve">Having regard to the complete notification file sent to the mergers department on April 13, 2026,  </w:t>
        <w:br/>
        <w:t xml:space="preserve">concerning the exclusive control acquisition of the company Jacadi by the Deveaux group, formalized by  </w:t>
        <w:br/>
        <w:t xml:space="preserve">the signing of a letter of intent on April 3, 2026;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submitted by the notifying party during the investigation;  </w:t>
        <w:br/>
        <w:t xml:space="preserve">Adopts the following decision:  </w:t>
        <w:br/>
        <w:t xml:space="preserve">1. The notified operation consists of the exclusive control acquisition by the Deveaux group of the company  </w:t>
        <w:br/>
        <w:t xml:space="preserve">Jacadi, which is active in the children's clothing sector. The operation constitutes  </w:t>
        <w:br/>
        <w:t xml:space="preserve">a concentration within the meaning of Article L. 430-1 of the Commercial Code. Given the turnover  </w:t>
        <w:br/>
        <w:t xml:space="preserve">achieved by the concerned companies, the operation does not fall under the jurisdiction of  </w:t>
        <w:br/>
        <w:t xml:space="preserve">the European Union. On the other hand, the control thresholds mentioned in II of Article L. 430-2  </w:t>
        <w:br/>
        <w:t xml:space="preserve">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26-096 is authorized.  </w:t>
        <w:br/>
        <w:t xml:space="preserve">The Vice-President,  </w:t>
        <w:br/>
        <w:t xml:space="preserve">Vivien Terrien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