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https://www.autoritedelaconcurrence.fr/fr/decision-de-controle-des-concentrations/relative-la-prise-de-controle-exclusif-de-la-societe-jdb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18-DCC-27 of February 19, 2018  </w:t>
        <w:br/>
        <w:t xml:space="preserve">regarding the exclusive control acquisition of the company J.D.B MEAUX by  </w:t>
        <w:br/>
        <w:t>the company GCA Investissements</w:t>
      </w:r>
    </w:p>
    <w:p>
      <w:r>
        <w:t>The Competition Authority,</w:t>
      </w:r>
    </w:p>
    <w:p>
      <w:r>
        <w:t xml:space="preserve">Having regard to the complete notification file sent to the mergers department on January 19, 2018,  </w:t>
        <w:br/>
        <w:t xml:space="preserve">concerning the exclusive control acquisition of the company J.D.B MEAUX by the company GCA  </w:t>
        <w:br/>
        <w:t xml:space="preserve">Investissements, and formalized by a share transfer agreement dated  </w:t>
        <w:br/>
        <w:t>November 28, 2017;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J.D.B MEAUX,  </w:t>
        <w:br/>
        <w:t xml:space="preserve">operating a car dealership in Mareuil-les-Meaux (77), by the company GCA  </w:t>
        <w:br/>
        <w:t xml:space="preserve">Investissements, a holding of the CGA group, which is itself active in the automotive distribution markets.  </w:t>
        <w:br/>
        <w:t xml:space="preserve">It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>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18-007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