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https://www.autoritedelaconcurrence.fr/fr/decision-de-controle-des-concentrations/relative-la-prise-de-controle-exclusif-de-la-societe-jivago</w:t>
      </w:r>
    </w:p>
    <w:p>
      <w:r>
        <w:t>Pages translated : 2</w:t>
      </w:r>
    </w:p>
    <w:p/>
    <w:p>
      <w:r>
        <w:rPr>
          <w:b/>
        </w:rPr>
        <w:t>[Pages 1–2]</w:t>
      </w:r>
    </w:p>
    <w:p>
      <w:r>
        <w:t xml:space="preserve">FRENCH REPUBLIC  </w:t>
        <w:br/>
        <w:t xml:space="preserve">Decision No. 21-DCC-66 of April 15, 2021  </w:t>
        <w:br/>
        <w:t xml:space="preserve">regarding the exclusive control acquisition of the company Jivago by the BNP Paribas group  </w:t>
        <w:br/>
        <w:t xml:space="preserve">The Competition Authority,  </w:t>
        <w:br/>
        <w:t xml:space="preserve">Having regard to the complete notification file submitted to the mergers department on March 30, 2021, concerning the exclusive control acquisition of the company Jivago by the BNP Paribas group, formalized by a share transfer agreement dated February 12,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BNP Paribas group, via its subsidiary Société Laroise de Participations, of the company Jivago active in the sectors of private security, cash transport and valuables processing, document and data processing on behalf of third parties, as well as transport commissioning.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21-042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