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https://www.autoritedelaconcurrence.fr/fr/decision-de-controle-des-concentrations/relative-la-prise-de-controle-exclusif-de-la-societe-jm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15-DCC-26 of March 18, 2015  </w:t>
        <w:br/>
        <w:t xml:space="preserve">regarding the exclusive control acquisition of the company JM Bruneau by  </w:t>
        <w:br/>
        <w:t xml:space="preserve">Weinberg Capital Partners  </w:t>
        <w:br/>
        <w:t>The Competition Authority,</w:t>
      </w:r>
    </w:p>
    <w:p>
      <w:r>
        <w:t xml:space="preserve">Having regard to the complete notification file submitted to the mergers department on February 20, 2015,  </w:t>
        <w:br/>
        <w:t xml:space="preserve">concerning the exclusive control acquisition of the company JM Bruneau by Weinberg Capital Partners,  </w:t>
        <w:br/>
        <w:t>and formalized by a share transfer agreement dated December 2, 2014;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of the company JM Bruneau by the  </w:t>
        <w:br/>
        <w:t xml:space="preserve">company Weinberg Capital Partners.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On  </w:t>
        <w:br/>
        <w:t xml:space="preserve">the other hand, the control thresholds related to concentration operations mentioned in point I  </w:t>
        <w:br/>
        <w:t xml:space="preserve">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15-016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