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https://www.autoritedelaconcurrence.fr/fr/decision-de-controle-des-concentrations/relative-la-prise-de-controle-exclusif-de-la-societe-jucris</w:t>
      </w:r>
    </w:p>
    <w:p>
      <w:r>
        <w:t>Pages translated : 2</w:t>
      </w:r>
    </w:p>
    <w:p/>
    <w:p>
      <w:r>
        <w:rPr>
          <w:b/>
        </w:rPr>
        <w:t>[Pages 1–2]</w:t>
      </w:r>
    </w:p>
    <w:p>
      <w:r>
        <w:t>FRENCH REPUBLIC</w:t>
        <w:br/>
        <w:t>Decision No. 24-DCC-44 of March 14, 2024</w:t>
        <w:br/>
        <w:t>regarding the exclusive control acquisition of the company Jucris by the company</w:t>
        <w:br/>
        <w:t>ITM Entreprises</w:t>
        <w:br/>
        <w:t>The Competition Authority,</w:t>
        <w:br/>
        <w:t>Having regard to the complete notification file submitted to the mergers department on February 14, 2024,</w:t>
        <w:br/>
        <w:t>concerning the exclusive control acquisition of the company Jucris by the company ITM Entreprises,</w:t>
        <w:br/>
        <w:t>formalized by a memorandum of understanding signed on January 16, 2024;</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ITM Entreprises of</w:t>
        <w:br/>
        <w:t>the company Jucris, which operates a predominantly food distribution business of supermarket type with a surface area of 2,143 m², under the brand "Intermarché" and located in Boulogne sur Mer (62).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24-044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