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https://www.autoritedelaconcurrence.fr/fr/decision-de-controle-des-concentrations/relative-la-prise-de-controle-exclusif-de-la-societe-juwi</w:t>
      </w:r>
    </w:p>
    <w:p>
      <w:r>
        <w:t>Pages translated : 6</w:t>
      </w:r>
    </w:p>
    <w:p/>
    <w:p>
      <w:r>
        <w:rPr>
          <w:b/>
        </w:rPr>
        <w:t>[Pages 1–3]</w:t>
      </w:r>
    </w:p>
    <w:p>
      <w:r>
        <w:t xml:space="preserve">FRENCH REPUBLIC  </w:t>
        <w:br/>
        <w:t xml:space="preserve">Decision No. 14-DCC-195 of December 31, 2014  </w:t>
        <w:br/>
        <w:t xml:space="preserve">regarding the exclusive control  </w:t>
        <w:br/>
        <w:t>of the company Juwi EnR by the company Neoen</w:t>
      </w:r>
    </w:p>
    <w:p>
      <w:r>
        <w:t xml:space="preserve">The Competition Authority,  </w:t>
        <w:br/>
        <w:t xml:space="preserve">Having regard to the notification file submitted in full to the merger service on December 12, 2014, regarding the exclusive control of the company Juwi EnR by the company Neoen, formalized by a letter of intent dated October 17,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Neoen is a company active in the renewable energy sector (wind and photovoltaic energy as well as biomass). It operates power plants whose construction and maintenance are carried out either by its subsidiary GenSun or by external service providers. GenSun and its subsidiary GenWind also offer construction and maintenance services for photovoltaic power plants on behalf of third parties and engineering services in the field of wind energy.  </w:t>
        <w:br/>
        <w:t xml:space="preserve">2. Neoen is controlled by the company Impala, which is itself controlled by Mr. Jacques Veyrat. Impala is organized around four business sectors: energy, industry, brands, and finance. Neoen is attached to the energy sector of Impala. Within this sector, Impala also exercises joint control over Direct Energie, a company active in the production, trading, and supply of electricity and the trading and supply of gas.  </w:t>
        <w:br/>
        <w:t>3. Juwi EnR is also a company active in the renewable energy sector. It develops power plant projects (wind and photovoltaic energy) on behalf of third parties. It then ensures the construction of the plant and, after delivery of the plant to the client, the maintenance of the site.</w:t>
      </w:r>
    </w:p>
    <w:p>
      <w:r>
        <w:t xml:space="preserve">4. The notified operation, formalized by a letter of intent dated October 17, 2014, consists of the acquisition by the company Neoen of the entire share capital and voting rights of the company Juwi EnR. As it results in the exclusive control of the company Juwi EnR by the company Neoen, the notified operation constitutes a concentration operation within the meaning of Article L. 430-1 of the Commercial Code.  </w:t>
        <w:br/>
        <w:t>5. The companies concerned together achieve a total worldwide turnover of more than 150 million euros (Neoen/Impala: [...] euros for the 2013 fiscal year; Juwi EnR: [...] euros for the same year). Each party achieves, in France, a turnover exceeding 50 million euros (Neoen/Impala: [...] euros for the 2013 fiscal year; Juwi EnR: [...] euros for the same year).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6. The parties are simultaneously present in the sectors (i) of engineering and technical studies and (ii) of the construction of engineering structures and industrial equipment, as constructors of power plants. Neoen and Direct Energie are also active in the downstream market for the production and wholesale sale of electricity.  </w:t>
        <w:br/>
        <w:t xml:space="preserve">A. ENGINEERING AND TECHNICAL STUDY SERVICES  </w:t>
        <w:br/>
        <w:t xml:space="preserve">1. SERVICE MARKET  </w:t>
        <w:br/>
        <w:t xml:space="preserve">7. Engineering and technical study services encompass all operations of design and assistance in the realization of industrial equipment (R&amp;D, development, engineering and process, realization, operation, and maintenance). These services are offered in numerous fields of activity such as industry, energy, transport, environment, construction, and public services.  </w:t>
        <w:br/>
        <w:t xml:space="preserve">8. The competition authorities have already examined concentration operations in the field of engineering and technical study services and have considered several segmentations, without definitively resolving the delimitation of the relevant markets1. They have thus considered defining an infrastructure engineering market2, a technology consulting market3, and a project management assistance market4, distinct from other engineering and technical study services. In this case, the parties are present in each of these markets.  </w:t>
        <w:br/>
        <w:t xml:space="preserve">1 See in particular the decisions of the Competition Authority No. 10-DCC-164 of November 18, 2010, regarding the exclusive control of IOSIS Holding by Egis SA, No. 11-DCC-131 of September 1, 2011, regarding the exclusive control of the company Aeroconseil by the company Akka Technologies, and No. 14-DCC-08 of January 22, 2014, regarding the exclusive control by the Ortec group of the company Financière Sonovision, and the decision of the European Commission M.2645 Saab / WM-Data AB / Saab Caran / JV of December 6, 2001.  </w:t>
        <w:br/>
        <w:t xml:space="preserve">2 See in particular the decision of the Competition Authority No. 10-DCC-164 cited above.  </w:t>
        <w:br/>
        <w:t xml:space="preserve">3 Letter from the Minister of Economy dated October 19, 2007, to the board of the company Akka Technologies regarding a concentration in the engineering sector.  </w:t>
        <w:br/>
        <w:t>4 Letter from the Minister of Economy dated November 12, 2008, to the boards of the company CDC Capital Investissement regarding a concentration in the sector of construction technical controls and decision of the Competition Authority No. 10-DCC-164 cited above.</w:t>
      </w:r>
    </w:p>
    <w:p>
      <w:r>
        <w:t xml:space="preserve">9. The competition authorities have also considered a segmentation of the market based on sectors of activity. In this regard, the services offered in the sectors of aeronautics, defense, telecommunications, energy, railways, banking, and insurance could be considered as distinct relevant markets5. In this case, the parties are simultaneously present in the market for engineering and technical study services in the energy sector. The activities of the parties particularly overlap in the segments of wind and photovoltaic energy.  </w:t>
        <w:br/>
        <w:t xml:space="preserve">10. However, there is no need to decide on the exact delineation of the markets for engineering and technical study services in the present case insofar as, regardless of the definition retained, the conclusions of the competitive analysis will remain unchanged.  </w:t>
        <w:br/>
        <w:t xml:space="preserve">2. GEOGRAPHICAL MARKET  </w:t>
        <w:br/>
        <w:t xml:space="preserve">11. Decision-making practice has generally considered that the markets for engineering and technical studies were of national dimension6, while considering that they could be of infranational dimension depending on the type of clientele and the missions concerned7.  </w:t>
        <w:br/>
        <w:t xml:space="preserve">12. Regarding the energy sector, the Competition Authority has considered that the market for engineering and technical studies was of national dimension, insofar as market operators offered a wide range of services, allowing them to operate throughout the territory, and where the main clients were groups of at least national dimension8.  </w:t>
        <w:br/>
        <w:t xml:space="preserve">13. There is no need to challenge the decision-making practice of the Authority in the context of the present operation.  </w:t>
        <w:br/>
        <w:t xml:space="preserve">B. THE CONSTRUCTION OF ENGINEERING STRUCTURES AND INDUSTRIAL EQUIPMENT  </w:t>
        <w:br/>
        <w:t xml:space="preserve">1. SERVICE MARKET  </w:t>
        <w:br/>
        <w:t xml:space="preserve">14. Based on a nomenclature established by the FNTP (National Federation of Public Works), the national competition authorities have considered9 that, given the level of specialization observed for these different categories of work, it was appropriate to distinguish several markets within the public works sector, namely:  </w:t>
        <w:br/>
        <w:t xml:space="preserve">- within road works, the markets for the manufacture of pavement coating products, on the one hand, and a market for the laying of these coatings, on the other hand;  </w:t>
        <w:br/>
        <w:t xml:space="preserve">- the markets for open-air earthworks (simple and medium and large mass);  </w:t>
        <w:br/>
        <w:t xml:space="preserve">5 See in particular the decision of the Competition Authority No. 11-DCC-131 cited above.  </w:t>
        <w:br/>
        <w:t xml:space="preserve">6 Decision of the Competition Authority No. 10-DCC-164 and letter from the Minister of Economy dated November 12, 2008, cited above. The European Commission has, however, considered analyzing a market of European dimension for specialized technical studies applied to the aerospace industry, insofar as these services are primarily addressed to the European consortium Airbus and its participants and that this market will be supplied by companies from different Member States (decision of the European Commission M.2645 cited above).  </w:t>
        <w:br/>
        <w:t xml:space="preserve">7 Decision of the Competition Authority No. 09-DCC-71 of December 8, 2009, regarding the merger of the Coteba group and the Sogreah group.  </w:t>
        <w:br/>
        <w:t xml:space="preserve">8 See in particular the decision of the Competition Authority No. 14-DCC-08 of January 22, 2014, regarding the exclusive control by the Ortec group of the company Financière Sonovision.  </w:t>
        <w:br/>
        <w:t>9 See the decision No. 09-DCC-43 of the Competition Authority dated September 14, 2009, the opinion of the Competition Council No. 01-A-08 of June 5, 2001, regarding the acquisition of the GTM group by the Vinci company, as well as the letter from the Minister of Economy dated December 1, 2008, No. C2008-116.</w:t>
      </w:r>
    </w:p>
    <w:p>
      <w:r>
        <w:rPr>
          <w:b/>
        </w:rPr>
        <w:t>[Pages 4–6]</w:t>
      </w:r>
    </w:p>
    <w:p>
      <w:r>
        <w:t>- railway track works contracts;</w:t>
        <w:br/>
        <w:t>- special foundations contracts;</w:t>
        <w:br/>
        <w:t>- underground network, pipeline, and other works contracts;</w:t>
        <w:br/>
        <w:t>- general civil engineering contracts, primarily including engineering structures and industrial equipment, civil engineering for factories, civil engineering for water treatment plants and reservoirs, secondly including underground works, and thirdly including works in maritime or river sites.</w:t>
      </w:r>
    </w:p>
    <w:p>
      <w:r>
        <w:t>15. In this case, the parties are simultaneously present in the market for engineering structures and industrial equipment carried out in the open air, particularly in the segment of photovoltaic power plant construction.</w:t>
      </w:r>
    </w:p>
    <w:p>
      <w:r>
        <w:t>16. There is no need to decide on the exact delimitation of the market for engineering structures and industrial equipment insofar as, regardless of the definition retained, the conclusions of the competitive analysis will remain unchanged.</w:t>
      </w:r>
    </w:p>
    <w:p>
      <w:r>
        <w:t>2. GEOGRAPHICAL MARKET</w:t>
      </w:r>
    </w:p>
    <w:p>
      <w:r>
        <w:t>17. The decision-making practice has considered that the market for engineering structures and industrial equipment carried out in the open air is of national dimension. There is no need to challenge the decision-making practice of the Authority in the context of the present operation.</w:t>
      </w:r>
    </w:p>
    <w:p>
      <w:r>
        <w:t>C. PRODUCTION AND WHOLESALE SALE OF ELECTRICITY</w:t>
      </w:r>
    </w:p>
    <w:p>
      <w:r>
        <w:t>1. MARKET FOR SERVICES</w:t>
      </w:r>
    </w:p>
    <w:p>
      <w:r>
        <w:t>18. Regarding the electricity sector, national and community competition authorities generally distinguish the following product markets, from upstream to downstream: (i) production and wholesale sale, (ii) trading, (iii) transportation, (iv) distribution, and (v) retail supply of electricity.</w:t>
      </w:r>
    </w:p>
    <w:p>
      <w:r>
        <w:t>19. The market for the production and wholesale sale of electricity includes, on the supply side, not only the electricity produced, notably by power plants, but also electricity imports into France via interconnections. The decision-making practice has not considered it relevant to operate a sub-segmentation within the market for the production and wholesale sale of electricity based on the type of energy.</w:t>
      </w:r>
    </w:p>
    <w:p>
      <w:r>
        <w:t>20. There is no need to challenge the decision-making practice of the Authority in the context of the present operation.</w:t>
      </w:r>
    </w:p>
    <w:p>
      <w:r>
        <w:t>2. GEOGRAPHICAL MARKET</w:t>
      </w:r>
    </w:p>
    <w:p>
      <w:r>
        <w:t>21. The decision-making practice has considered that the markets for the production and wholesale sale of electricity are of national dimension, notably due to the diversity of the regulatory systems in force.</w:t>
      </w:r>
    </w:p>
    <w:p>
      <w:r>
        <w:t>22. There is no need to challenge the decision-making practice of the Authority in the context of the present operation.</w:t>
      </w:r>
    </w:p>
    <w:p>
      <w:r>
        <w:t>III. Competitive Analysis</w:t>
      </w:r>
    </w:p>
    <w:p>
      <w:r>
        <w:t>A. HORIZONTAL EFFECTS</w:t>
      </w:r>
    </w:p>
    <w:p>
      <w:r>
        <w:t>1. ENGINEERING AND TECHNICAL STUDY SERVICES</w:t>
      </w:r>
    </w:p>
    <w:p>
      <w:r>
        <w:t>23. The supply of engineering and technical study services is heterogeneous and fragmented: more than 19,000 companies operate in this sector, representing a turnover of more than 42 billion euros. Among the operators for whom engineering is the main activity, there are specialized subsidiaries belonging to large industrial groups as well as consulting firms of varying sizes.</w:t>
      </w:r>
    </w:p>
    <w:p>
      <w:r>
        <w:t>24. In the overall market for engineering and technical studies, the combined market share of the parties in France is less than [0-5] %. In the various segments of this market, the parties estimated that their combined market shares were below [0-5] %, regardless of the segmentations retained, including segmenting the market based on the type of energy (wind or photovoltaic).</w:t>
      </w:r>
    </w:p>
    <w:p>
      <w:r>
        <w:t>25. The operation is therefore not likely to harm competition through horizontal effects in the markets for engineering and technical study services.</w:t>
      </w:r>
    </w:p>
    <w:p>
      <w:r>
        <w:t>2. CONSTRUCTION OF ENGINEERING STRUCTURES AND INDUSTRIAL EQUIPMENT</w:t>
      </w:r>
    </w:p>
    <w:p>
      <w:r>
        <w:t>26. The combined market share of the parties is less than [0-5] % in the market for engineering structures and industrial equipment in France and less than [0-5] % in the segment of photovoltaic power plant construction.</w:t>
      </w:r>
    </w:p>
    <w:p>
      <w:r>
        <w:t>27. The proposed operation is therefore not likely to harm competition through horizontal effects in the market for engineering structures and industrial equipment.</w:t>
      </w:r>
    </w:p>
    <w:p>
      <w:r>
        <w:t>B. VERTICAL EFFECTS</w:t>
      </w:r>
    </w:p>
    <w:p>
      <w:r>
        <w:t>28. A vertical concentration can restrict competition by making access to the markets where the new entity will be active more difficult,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29. In this case, Juwi EnR and Neoen operate in the markets for engineering and technical studies and the construction of engineering structures and industrial equipment (power plants), markets located upstream of the market for the production and wholesale sale of electricity in which Neoen and Direct Energie are present.</w:t>
      </w:r>
    </w:p>
    <w:p>
      <w:r>
        <w:t>30. The decision-making practice of the competition authorities generally dismisses the risks of market lock-in when the share of the company resulting from the operation in the relevant markets does not exceed 30 %. In this case, the combined market share of the parties is less than [0-5] % in each of the upstream and downstream markets concerned by the operation, regardless of the market definition retained.</w:t>
      </w:r>
    </w:p>
    <w:p>
      <w:r>
        <w:t>31. Consequently, the operation is not likely to harm competition through vertical effects.</w:t>
      </w:r>
    </w:p>
    <w:p>
      <w:r>
        <w:t>DECIDES</w:t>
      </w:r>
    </w:p>
    <w:p>
      <w:r>
        <w:t>Sole Article: The notified operation under number 14-201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