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https://www.autoritedelaconcurrence.fr/fr/decision-de-controle-des-concentrations/relative-la-prise-de-controle-exclusif-de-la-societe-katric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17-DCC-116 of July 19, 2017  </w:t>
        <w:br/>
        <w:t xml:space="preserve">regarding the exclusive control acquisition of the company Katric by the company  </w:t>
        <w:br/>
        <w:t xml:space="preserve">ITM Alimentaire Est  </w:t>
        <w:br/>
        <w:t xml:space="preserve">The Competition Authority,  </w:t>
        <w:br/>
        <w:t xml:space="preserve">Having regard to the complete notification file sent to the mergers department on June 29, 2017,  </w:t>
        <w:br/>
        <w:t xml:space="preserve">concerning the exclusive control acquisition of the company Katric by the company ITM Alimentaire Est,  </w:t>
        <w:br/>
        <w:t xml:space="preserve">formalized by a memorandum of understanding dated May 31,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company ITM Alimentaire Est of exclusive  </w:t>
        <w:br/>
        <w:t xml:space="preserve">control of the company Katric, which operates a food-dominant retail outlet, with an area of 3,710 m²,  </w:t>
        <w:br/>
        <w:t xml:space="preserve">under the brand Intermarché, located in the city of Basse-Ham in Moselle (57). This operation constitutes a  </w:t>
        <w:br/>
        <w:t xml:space="preserve">concentration operation within the meaning of Article L. 430-1 of the Commercial Code. Given the  </w:t>
        <w:br/>
        <w:t xml:space="preserve">turnover generated by the companies concerned, the operation does not fall under the jurisdiction of the  </w:t>
        <w:br/>
        <w:t xml:space="preserve">European Union. On the other hand, the control thresholds related to retail trade mentioned in point II of  </w:t>
        <w:br/>
        <w:t xml:space="preserve">Article 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17-131 is authorized.  </w:t>
        <w:br/>
        <w:t xml:space="preserve">The Vice-President,  </w:t>
        <w:br/>
        <w:t xml:space="preserve">Claire Favre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