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https://www.autoritedelaconcurrence.fr/fr/decision-de-controle-des-concentrations/relative-la-prise-de-controle-exclusif-de-la-societe-keys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25-DCC-139 of June 19, 2025</w:t>
        <w:br/>
        <w:t>regarding the exclusive control acquisition of the company Keys REIM SAS</w:t>
        <w:br/>
        <w:t>by the company Atland SA</w:t>
        <w:br/>
        <w:t>The Competition Authority,</w:t>
        <w:br/>
        <w:t>Having regard to the complete notification file submitted to the mergers department on May 16, 2025,</w:t>
        <w:br/>
        <w:t>concerning the exclusive control acquisition of the company Keys REIM SAS by the company Atland SA,</w:t>
        <w:br/>
        <w:t>formalized by a share transfer agreement signed on April 7,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Atland SA of the entire capital</w:t>
        <w:br/>
        <w:t>and voting rights of the company Keys REIM SAS, active in the markets of real estate asset management</w:t>
        <w:br/>
        <w:t>for its own account aimed at individual and professional investors as well as in the markets of real estate development. The operation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25-129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