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https://www.autoritedelaconcurrence.fr/fr/decision-de-controle-des-concentrations/relative-la-prise-de-controle-exclusif-de-la-societe-kiko</w:t>
      </w:r>
    </w:p>
    <w:p>
      <w:r>
        <w:t>Pages translated : 2</w:t>
      </w:r>
    </w:p>
    <w:p/>
    <w:p>
      <w:r>
        <w:rPr>
          <w:b/>
        </w:rPr>
        <w:t>[Pages 1–2]</w:t>
      </w:r>
    </w:p>
    <w:p>
      <w:r>
        <w:t xml:space="preserve">FRENCH REPUBLIC  </w:t>
        <w:br/>
        <w:t xml:space="preserve">Decision No. 22-DCC-225 of November 28, 2022  </w:t>
        <w:br/>
        <w:t xml:space="preserve">regarding the exclusive control acquisition of Kiko SpA by the  </w:t>
        <w:br/>
        <w:t xml:space="preserve">Percassi group  </w:t>
        <w:br/>
        <w:t xml:space="preserve">The Competition Authority,  </w:t>
        <w:br/>
        <w:t xml:space="preserve">Having regard to the complete notification file submitted to the mergers department on November 8, 2022,  </w:t>
        <w:br/>
        <w:t xml:space="preserve">concerning the acquisition of control of Kiko SpA by Odissea Srl, a holding company of the Percassi group, formalized by a sales contract dated October 17,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Kiko SpA and its subsidiaries, which operate in France a network of 180 stores and an online sales site under the Kiko brand, by the Percassi group, which operates in France the brands Victoria’s Secret and Lego. The parties are simultaneously active in France in the retail distribution sector of cosmetic products. The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