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https://www.autoritedelaconcurrence.fr/fr/decision-de-controle-des-concentrations/relative-la-prise-de-controle-exclusif-de-la-societe-koesio</w:t>
      </w:r>
    </w:p>
    <w:p>
      <w:r>
        <w:t>Pages translated : 2</w:t>
      </w:r>
    </w:p>
    <w:p/>
    <w:p>
      <w:r>
        <w:rPr>
          <w:b/>
        </w:rPr>
        <w:t>[Pages 1–2]</w:t>
      </w:r>
    </w:p>
    <w:p>
      <w:r>
        <w:t>FRENCH REPUBLIC</w:t>
        <w:br/>
        <w:t>Decision No. 25-DCC-37 of February 19, 2025</w:t>
        <w:br/>
        <w:t>regarding the exclusive control acquisition of the company</w:t>
        <w:br/>
        <w:t>Koesio Corporate IT by the company Chevrillon &amp; Compagnie</w:t>
        <w:br/>
        <w:t>The Competition Authority,</w:t>
        <w:br/>
        <w:t>Having regard to the complete notification file submitted to the mergers department on February 3, 2025,</w:t>
        <w:br/>
        <w:t>concerning the exclusive control acquisition of the company Koesio Corporate IT and all its</w:t>
        <w:br/>
        <w:t>subsidiaries by the company Chevrillon &amp; Compagnie formalized by a transfer contract signed on</w:t>
        <w:br/>
        <w:t>January 29, 2025;</w:t>
        <w:br/>
        <w:t>Having regard to Book IV of the Commercial Code relating to the freedom of prices and competition, and</w:t>
        <w:br/>
        <w:t>notably its Articles L. 430-1 to L. 430-7;</w:t>
        <w:br/>
        <w:t>Adopts the following decision:</w:t>
        <w:br/>
        <w:t>1. The notified operation consists of the acquisition by the company Chevrillon &amp; Compagnie, through the</w:t>
        <w:br/>
        <w:t>creation of a holding company of which it will hold the majority of the share capital and voting rights, of the exclusive control of the company Koesio Corporate IT and all its subsidiaries,</w:t>
        <w:br/>
        <w:t>which are active in the field of providing IT solutions. The operation constitutes a concentration within the meaning of Article L. 430-1 of the Commercial Code. Given the revenues generated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25-028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