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https://www.autoritedelaconcurrence.fr/fr/decision-de-controle-des-concentrations/relative-la-prise-de-controle-exclusif-de-la-societe-kos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FRANCE REPUBLIC  </w:t>
        <w:br/>
        <w:t xml:space="preserve">Decision No. 19-DCC-245 of December 13, 2019  </w:t>
        <w:br/>
        <w:t xml:space="preserve">regarding the exclusive control acquisition of the company Kos by the company  </w:t>
        <w:br/>
        <w:t xml:space="preserve">ITM Alimentaire Ouest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14, 2019, concerning the exclusive control acquisition by the company ITM Alimentaire Ouest  </w:t>
        <w:br/>
        <w:t xml:space="preserve">of the company Kos, formalized by a letter of intent dated October 17,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parties during the investigation;  </w:t>
        <w:br/>
        <w:t xml:space="preserve">Adopts the following decision:  </w:t>
        <w:br/>
        <w:t xml:space="preserve">1. The notified operation consists of the exclusive control acquisition by the company ITM Alimentaire  </w:t>
        <w:br/>
        <w:t xml:space="preserve">Ouest of the company Kos, which operates a food-dominant business under the Intermarché brand with  </w:t>
        <w:br/>
        <w:t xml:space="preserve">a surface area of 2,590 m² located in Saint-Quay-Perros (22). It constitutes a concentration operation  </w:t>
        <w:br/>
        <w:t xml:space="preserve">within the meaning of Article L. 430-1 of the Commercial Code. Given the turnover achieved by the  </w:t>
        <w:br/>
        <w:t xml:space="preserve">concerned companies, the operation does not fall under the jurisdiction of the European Union.  </w:t>
        <w:br/>
        <w:t xml:space="preserve">On the other hand, the retail control thresholds mentioned in point II of Article L. 430-2 of the  </w:t>
        <w:br/>
        <w:t xml:space="preserve">Commercial Code are exceeded. This operation is therefore subject to the provisions of Articles L. 430-3  </w:t>
        <w:br/>
        <w:t xml:space="preserve">and following of the Commercial Code relating to economic concentration.  </w:t>
        <w:br/>
        <w:t xml:space="preserve">2. In light of the elements of the file, the operation is not likely to harm competition in the  </w:t>
        <w:br/>
        <w:t>concerned markets.</w:t>
      </w:r>
    </w:p>
    <w:p>
      <w:r>
        <w:t xml:space="preserve">DECIDES  </w:t>
        <w:br/>
        <w:t xml:space="preserve">Sole Article: The operation notified under number 19-302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