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https://www.autoritedelaconcurrence.fr/fr/decision-de-controle-des-concentrations/relative-la-prise-de-controle-exclusif-de-la-societe-la-0</w:t>
      </w:r>
    </w:p>
    <w:p>
      <w:r>
        <w:t>Pages translated : 2</w:t>
      </w:r>
    </w:p>
    <w:p/>
    <w:p>
      <w:r>
        <w:rPr>
          <w:b/>
        </w:rPr>
        <w:t>[Pages 1–2]</w:t>
      </w:r>
    </w:p>
    <w:p>
      <w:r>
        <w:t>FRENCH REPUBLIC</w:t>
        <w:br/>
        <w:t>Decision No. 17-DCC-108 of July 11, 2017</w:t>
        <w:br/>
        <w:t>regarding the exclusive control acquisition of the company La Seyne Automobiles by the company Renault Retail Group</w:t>
        <w:br/>
        <w:t>The Competition Authority,</w:t>
        <w:br/>
        <w:t>Having regard to the complete notification file sent to the mergers department on June 8, 2017, concerning the exclusive control acquisition of the company La Seyne Automobiles by the company Renault Retail Group, formalized by a memorandum of understanding dated July 3, 2017;</w:t>
        <w:br/>
        <w:t>Having regard to Book IV of the Commercial Code relating to the freedom of prices and competition, and in particular its Articles L. 430-1 to L. 430-7;</w:t>
        <w:br/>
        <w:t>Having regard to the additional elements provided by the notifying party during the investigation;</w:t>
        <w:br/>
        <w:t>Adopts the following decision:</w:t>
        <w:br/>
        <w:t>1. The notified operation consists of the exclusive control acquisition by the company Renault Retail Group of the company La Seyne Automobiles, which is active in the sectors of distribution and repair of Renault and Dacia brand motor vehicles in the Var department (83). It constitutes a concentration operation within the meaning of Article L. 430-1 of the Commercial Code. Given the turnover achieved by the concerned companies, the operation does not fall under the jurisdiction of the European Union. However, the control thresholds mentioned in II of Article L. 430-2 of the Commercial Code are exceeded. The present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17-120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