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https://www.autoritedelaconcurrence.fr/fr/decision-de-controle-des-concentrations/relative-la-prise-de-controle-exclusif-de-la-societe-la-1</w:t>
      </w:r>
    </w:p>
    <w:p>
      <w:r>
        <w:t>Pages translated : 8</w:t>
      </w:r>
    </w:p>
    <w:p/>
    <w:p>
      <w:r>
        <w:rPr>
          <w:b/>
        </w:rPr>
        <w:t>[Pages 1–3]</w:t>
      </w:r>
    </w:p>
    <w:p>
      <w:r>
        <w:t xml:space="preserve">FRENCH REPUBLIC  </w:t>
        <w:br/>
        <w:t xml:space="preserve">Decision No. 17-DCC-67 of May 26, 2017  </w:t>
        <w:br/>
        <w:t xml:space="preserve">regarding the exclusive control of La Compagnie du Vent by Engie  </w:t>
        <w:br/>
        <w:t xml:space="preserve">The Competition Authority,  </w:t>
        <w:br/>
        <w:t xml:space="preserve">Having regard to the notification file submitted in full to the merger service on May 2, 2017, regarding the exclusive control of La Compagnie du Vent by Engie, formalized by a share transfer agreement dated April 4,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companies concerned and the operation  </w:t>
        <w:br/>
        <w:t xml:space="preserve">1. Engie is a public limited company at the head of the Engie group (hereinafter "Engie"), the new trade name of the GDF Suez group. Engie is an industrial and service group of international dimension, active in the sectors of gas, electricity, and energy-related services. In the photovoltaic and wind energy sector, Engie is active in the development, construction, operation, and maintenance of photovoltaic power plants and wind farms in France through its subsidiaries Compagnie Nationale du Rhône, Solairedirect, and Engie Green.  </w:t>
        <w:br/>
        <w:t>2. La Compagnie du Vent ("LCV") is a simplified joint-stock company, jointly controlled by Engie (59%) and SOPER (41%). LCV is active in the renewable energy sector, specifically wind and photovoltaic energy. It notably seeks suitable sites for the installation of wind or photovoltaic equipment, ensures consultation with the relevant stakeholders, develops projects, finances them or seeks the necessary bank financing, constructs the installations, and takes charge of their operation, either with third parties or on its own account.</w:t>
      </w:r>
    </w:p>
    <w:p>
      <w:r>
        <w:t xml:space="preserve">3. The operation, formalized by a share transfer agreement dated April 4, 2017, involves the acquisition by Engie of SOPER's 41% stake in the capital of LCV. Following the operation, Engie will thus hold the entirety of the capital and voting rights of LCV.  </w:t>
        <w:br/>
        <w:t xml:space="preserve">4. As it results in the exclusive control of LCV by Engie, the notified operation constitutes a concentration operation within the meaning of Article L. 430-1 of the Commercial Code.  </w:t>
        <w:br/>
        <w:t>5. The companies concerned together achieve a total worldwide turnover excluding taxes of more than 150 million euros (Engie: 66.6 billion euros for the fiscal year ending December 31, 2016; LCV: [...] euros for the same fiscal year). Each of these companies achieves a turnover in France of more than 50 million euros (Engie: [...] euros for the fiscal year ending December 31, 2016; LCV: [...] euros for the same fiscal year). Given these turnover figures,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6. Engie and LCV are simultaneously active in the market for the production and wholesale of electricity (A). They are also active in the market for the development, construction, and management of wind farms (B), as well as in the photovoltaic power plant sector (C). Finally, Engie is active in the retail electricity supply market to final consumers (D).  </w:t>
        <w:br/>
        <w:t xml:space="preserve">A. THE MARKET FOR THE PRODUCTION AND WHOLESALE OF ELECTRICITY  </w:t>
        <w:br/>
        <w:t xml:space="preserve">1. MARKET FOR PRODUCTS AND SERVICES  </w:t>
        <w:br/>
        <w:t xml:space="preserve">7. The decisional practice recognizes the existence of a market for the production and wholesale of electricity, these two activities forming a single market1. This market includes domestic electricity production, as well as electricity physically imported via interconnections for resale to retailers, traders, and, to a lesser extent, large industrial end consumers. On the supply side, market players include electricity producers, importers, and traders.  </w:t>
        <w:br/>
        <w:t xml:space="preserve">8. The decisional practice has not segmented this market based on the type of energy2.  </w:t>
        <w:br/>
        <w:t xml:space="preserve">1 Decision COMP/M.7137 of the European Commission of June 25, 2014, EDF/Dalkia; Decision No. 09-DCC-28 of the Competition Authority of July 30, 2009, regarding the acquisition of Poweo by Österreichische Elektrizitätswirtschafts-Aktiengesellschaft and Decision No. 16-DCC-153 of the Competition Authority of October 20, 2016, regarding the acquisition of Enel France by Energies Libres.  </w:t>
        <w:br/>
        <w:t>2 Decision COMP/M.6540 of the European Commission of May 10, 2012, Dong Energy Borkum Riffgrund I Holdco / Boston Holding / Borkum Riffgrund I Offshore WindPark; Decision COMP/M.5366 of the European Commission of December 4, 2008, Iberdrola Renovables / Gamesa and Decision No. 16-DCC-41 of the Competition Authority of March 10, 2016, regarding the joint acquisition of Aalto Power SAS by Aiolos SAS and the Caisse des Dépôts et Consignations.</w:t>
      </w:r>
    </w:p>
    <w:p>
      <w:r>
        <w:t xml:space="preserve">9. There is no need to challenge this definition for the purposes of the present operation.  </w:t>
        <w:br/>
        <w:t xml:space="preserve">2. GEOGRAPHIC MARKET  </w:t>
        <w:br/>
        <w:t xml:space="preserve">10. National and European competition authorities3 consider that the market for the production and wholesale of electricity is national in scope, particularly due to the diversity of regulatory systems in force.  </w:t>
        <w:br/>
        <w:t xml:space="preserve">B. THE MARKET FOR THE DEVELOPMENT, CONSTRUCTION, AND MANAGEMENT OF WIND FARMS  </w:t>
        <w:br/>
        <w:t xml:space="preserve">1. MARKET FOR PRODUCTS AND SERVICES  </w:t>
        <w:br/>
        <w:t xml:space="preserve">11. The European Commission has defined the upstream market for the development, construction, and management (or "promotion") of wind farms4 as: "essentially comprising the following stages: (i) site selection and wind condition assessment, (ii) administrative procedures and environmental authorizations, (iii) acquisition of the necessary rights on the site and generators, (iv) license to connect the wind farm to the transmission network, (v) construction, and (vi) commissioning."  </w:t>
        <w:br/>
        <w:t xml:space="preserve">12. The Commission has considered two alternative scopes for this market, targeting either (i) the development and management of wind farms for internal use or for sale to third parties, or (ii) the development and management of wind farms exclusively for sale to third parties5. It has also left open the question of whether the market for the development, construction, and management of wind farms includes maintenance services for the farms6.  </w:t>
        <w:br/>
        <w:t xml:space="preserve">13. However, there is no need to conclude on the precise delimitation of this market, as the conclusions of the competitive analysis remain unchanged, regardless of the definition adopted.  </w:t>
        <w:br/>
        <w:t xml:space="preserve">2. GEOGRAPHIC MARKET  </w:t>
        <w:br/>
        <w:t xml:space="preserve">14. The Commission has considered a market for the development, construction, and management of wind farms at the national level7.  </w:t>
        <w:br/>
        <w:t xml:space="preserve">15. There is no need to revisit this decisional practice in the context of the present operation, as LCV is only active in France.  </w:t>
        <w:br/>
        <w:t xml:space="preserve">3 Ibid.  </w:t>
        <w:br/>
        <w:t xml:space="preserve">4 Decision COMP/M.5366 of the European Commission of December 4, 2008, Iberdrola Renovables/Gamesa and Decision COMP/M.6540 of the European Commission of May 10, 2012, Dong Energy Borkum Riffgrund I Holdco/Boston Holding/Borkum Riffgrund I Offshore Windpark.  </w:t>
        <w:br/>
        <w:t xml:space="preserve">5 Ibid.  </w:t>
        <w:br/>
        <w:t xml:space="preserve">6 See the aforementioned Decision COMP/M.6540.  </w:t>
        <w:br/>
        <w:t>7 See the aforementioned Decisions COMP/M.5366 and COMP/M.6540.</w:t>
      </w:r>
    </w:p>
    <w:p>
      <w:r>
        <w:rPr>
          <w:b/>
        </w:rPr>
        <w:t>[Pages 4–6]</w:t>
      </w:r>
    </w:p>
    <w:p>
      <w:r>
        <w:t xml:space="preserve">C. THE PHOTOVOLTAIC SECTOR  </w:t>
        <w:br/>
        <w:t xml:space="preserve">1. MARKET FOR PRODUCTS AND SERVICES  </w:t>
        <w:br/>
        <w:t xml:space="preserve">16. A photovoltaic power plant (or photovoltaic park) is designed to capture the sun's radiative energy (direct, reflected, and diffuse) in the form of photons to convert it into useful energy in the form of electrical production connected to the public distribution network (managed by ERDF or Local Distribution Companies) or transmission (managed by RTE).  </w:t>
        <w:br/>
        <w:t xml:space="preserve">17. The Competition Authority has recently considered that the activity of constructing photovoltaic power plants could constitute a sub-segment of the market for civil engineering works and industrial equipment8.  </w:t>
        <w:br/>
        <w:t xml:space="preserve">18. An analogy can also be considered between the market for the development, construction, and management of wind farms and that related to photovoltaic power plants9. As presented in paragraph 11, the Commission has defined a market for the development, construction, and management of wind farms, a market "comprising the following stages: (i) site selection and wind condition assessment, (ii) administrative procedures and environmental authorization, (iii) acquisition of the necessary rights on the site and generators, (iv) license to connect the wind turbines to the transmission network, (v) construction, and (vi) commissioning"10. However, the Commission has not resolved the question of the relevance of a narrower definition distinguishing the development and management of wind farms for sale to third parties11. It has also left open the question of whether the market for the development, construction, and management of wind farms includes maintenance services12.  </w:t>
        <w:br/>
        <w:t xml:space="preserve">19. The parties consider that it is appropriate in this case to define a relevant market for the development, construction, operation, and maintenance of photovoltaic power plants.  </w:t>
        <w:br/>
        <w:t xml:space="preserve">20. However, there is no need to conclude on the precise delineation of these markets, as the conclusions of the competitive analysis remain unchanged, regardless of the definition adopted.  </w:t>
        <w:br/>
        <w:t xml:space="preserve">2. GEOGRAPHIC MARKET  </w:t>
        <w:br/>
        <w:t xml:space="preserve">21. National decision-making practice considers the market for civil engineering works and industrial equipment carried out outdoors to be limited to France13.  </w:t>
        <w:br/>
        <w:t xml:space="preserve">22. Furthermore, the Commission has considered a market for the development, construction, and management of wind farms at the national level14.  </w:t>
        <w:br/>
        <w:t xml:space="preserve">23. There is no need to revisit decision-making practice in the context of the present operation, as LCV is only active in France.  </w:t>
        <w:br/>
        <w:t xml:space="preserve">D. THE RETAIL ELECTRICITY SUPPLY MARKET  </w:t>
        <w:br/>
        <w:t xml:space="preserve">1. MARKET FOR PRODUCTS AND SERVICES  </w:t>
        <w:br/>
        <w:t xml:space="preserve">24. National and European competition authorities distinguish, within the retail supply of electricity, between (i) retail electricity supply to large industrial and commercial customers connected to the transmission network and (ii) retail electricity supply to small industrial, commercial, and residential customers connected to the distribution network15. This delineation has been considered insofar as large industrial customers benefit from individualized offers based on their actual consumption, while customers connected to the distribution network are subject to a mass marketing approach and are assigned a tariff based on the typical profile of their consumption. These latter customers are referred to as "profiled": a theoretical typical profile is assigned to them based on their characteristics in terms of, among other things, professional activity and domestic equipment, in order to be able to estimate their electricity consumption in advance16.  </w:t>
        <w:br/>
        <w:t xml:space="preserve">25. Furthermore, competition authorities have considered distinguishing, within the "profiled" customers, (i) small industrial and commercial customers and (ii) residential customers. Indeed, these two customer segments have distinct consumption profiles, and supply to residential customers is subject to specific regulation resulting from public service obligations that do not apply to professional customers17.  </w:t>
        <w:br/>
        <w:t xml:space="preserve">26. Competition authorities have also considered defining narrower markets for electricity supply to customers who have subscribed to a supply contract on the free market18. Thus, the Authority noted that market offers with freely set prices and offers with regulated tariffs coexist in France and that, moreover, subscribing to a supply contract on the free market does not allow a return to these regulated tariffs, except in exceptional cases, particularly for large industrial customers19.  </w:t>
        <w:br/>
        <w:t xml:space="preserve">27. The notifying party believes that this distinction has lost its relevance since the entry into force of Law No. 2010-1488 of December 7, 2010, on the new organization of the electricity market. It points out that the legislation allows small consumers (industrial, commercial, and residential customers subscribing to a power of less than 36 kVA) to return to regulated tariffs upon simple request and without delay for a duration of not less than one year and that it frames the same possibility for large consumers (industrial and commercial customers subscribing to a power of more than 36 kVA). According to it, there would therefore be no need to distinguish between customers who have subscribed to a market offer and those who have not.  </w:t>
        <w:br/>
        <w:t xml:space="preserve">28. However, there is no need to conclude on the precise delineation of these markets, as the conclusions of the competitive analysis remain unchanged, regardless of the definition adopted.  </w:t>
        <w:br/>
        <w:t xml:space="preserve">2. GEOGRAPHIC MARKETS  </w:t>
        <w:br/>
        <w:t xml:space="preserve">29. Decision-making practice considers electricity supply markets to be national in scope20.  </w:t>
        <w:br/>
        <w:t xml:space="preserve">III. Competitive Analysis  </w:t>
        <w:br/>
        <w:t xml:space="preserve">A. HORIZONTAL EFFECTS  </w:t>
        <w:br/>
        <w:t xml:space="preserve">1. MARKET FOR THE PRODUCTION AND WHOLESALE OF ELECTRICITY  </w:t>
        <w:br/>
        <w:t xml:space="preserve">30. In the national market for the production and wholesale of electricity, the combined market shares of the parties have been estimated at [5-10]% in terms of installed production capacities and [0-5]% in terms of electricity produced in 2016. Furthermore, following the operation, the new entity will face competition from EDF (representing 70.5% of installed production capacity and 81.2% of electricity produced in 2016) and operators E.ON and Boralex.  </w:t>
        <w:br/>
        <w:t xml:space="preserve">31. Therefore, the operation is not likely to harm competition through horizontal effects in the market for the production and wholesale of electricity.  </w:t>
        <w:br/>
        <w:t xml:space="preserve">2. MARKET FOR THE DEVELOPMENT, CONSTRUCTION, AND MANAGEMENT OF WIND FARMS  </w:t>
        <w:br/>
        <w:t xml:space="preserve">32. In the national market for the development, construction, and management of wind farms, the combined market shares of the parties have been estimated at [10-20]% in terms of total production capacity and [10-20]% in terms of new installed capacity21 in 2016. The combined market shares of the parties are also always below 20%, regardless of the segmentation adopted.  </w:t>
        <w:br/>
        <w:t xml:space="preserve">33. Following the operation, the new entity will face competition from numerous operators, such as Eole-Res, Quadran, or EDF-EN.  </w:t>
        <w:br/>
        <w:t>34. Therefore, the operation is not likely to harm competition through horizontal effects in the market for the development, construction, and management of wind farms.</w:t>
      </w:r>
    </w:p>
    <w:p>
      <w:r>
        <w:rPr>
          <w:b/>
        </w:rPr>
        <w:t>[Pages 7–8]</w:t>
      </w:r>
    </w:p>
    <w:p>
      <w:r>
        <w:t xml:space="preserve">3. PHOTOVOLTAIC SECTOR  </w:t>
        <w:br/>
        <w:t xml:space="preserve">35. In the national market for civil engineering works and industrial equipment, the parties estimate that their combined market shares do not exceed [0-5] %.  </w:t>
        <w:br/>
        <w:t xml:space="preserve">36. More specifically, in the national market for the development, construction, operation, and maintenance of photovoltaic power plants, the combined market shares of the parties in 2016 were estimated at [5-10] % in terms of total production capacity and [10-20] % in terms of new installed capacity. The combined market shares of the parties remain below 15%, regardless of the segmentation chosen.  </w:t>
        <w:br/>
        <w:t xml:space="preserve">37. Following the transaction, the new entity will face competition from numerous operators, such as Neoen, Urbasolar, or EDF-EN.  </w:t>
        <w:br/>
        <w:t>38. Therefore, the transaction is not likely to harm competition through horizontal effects in the market for the development, construction, operation, and maintenance of photovoltaic power plants.</w:t>
      </w:r>
    </w:p>
    <w:p>
      <w:r>
        <w:t xml:space="preserve">B. VERTICAL EFFECTS  </w:t>
        <w:br/>
        <w:t xml:space="preserve">39. A vertical concentration may also restrict competition by making access to the markets in which the new entity will operate more difficult, or even potentially excluding competitors or penalizing them by increasing their costs. However, the Authority considers that it is unlikely that a company with a market share below 30% in a given market could lock in a downstream or upstream market.  </w:t>
        <w:br/>
        <w:t xml:space="preserve">40. In the national market for the retail supply of electricity, Engie's estimated market share22 does not exceed [10-20] % in 2016, regardless of the segmentation chosen.  </w:t>
        <w:br/>
        <w:t xml:space="preserve">41. Any risk of harming competition through vertical effects between the market for the production and wholesale of electricity and the market for the retail supply of electricity can therefore be ruled out given the low market shares of the parties.  </w:t>
        <w:br/>
        <w:t xml:space="preserve">42. Furthermore, in light of the limited market shares of Engie and LCV in each of the relevant markets, any risk of harming competition through vertical effects between the market for the production and wholesale of electricity, on the one hand, and the markets for the development, construction, and management of wind farms and photovoltaic power plants, on the other hand, can therefore be ruled out.  </w:t>
        <w:br/>
        <w:t xml:space="preserve">43. Consequently, the transaction is not likely to harm competition through vertical effects in the relevant markets.  </w:t>
        <w:br/>
        <w:t>22 Engie presented its market shares in terms of electricity supplied and number of sites. In the segment of large industrial and commercial customers, Engie's market share was estimated at [10-20] % in terms of quantity supplied and [10-20] % in number of sites. In the segment of medium and small industrial and commercial customers, Engie's market share was estimated at [10-20] % in terms of quantity supplied and [5-10] % in number of sites. In the residential customer segment, Engie's market share was estimated at [5-10] % in terms of quantity supplied and [5-10] % in number of sites.</w:t>
      </w:r>
    </w:p>
    <w:p>
      <w:r>
        <w:t xml:space="preserve">DECIDES  </w:t>
        <w:br/>
        <w:t xml:space="preserve">Sole Article: The transaction notified under number 17-066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