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https://www.autoritedelaconcurrence.fr/fr/decision-de-controle-des-concentrations/relative-la-prise-de-controle-exclusif-de-la-societe-la-2</w:t>
      </w:r>
    </w:p>
    <w:p>
      <w:r>
        <w:t>Pages translated : 2</w:t>
      </w:r>
    </w:p>
    <w:p/>
    <w:p>
      <w:r>
        <w:rPr>
          <w:b/>
        </w:rPr>
        <w:t>[Pages 1–2]</w:t>
      </w:r>
    </w:p>
    <w:p>
      <w:r>
        <w:t xml:space="preserve">FRENCH REPUBLIC  </w:t>
        <w:br/>
        <w:t xml:space="preserve">Decision No. 19-DCC-99 of May 22, 2019  </w:t>
        <w:br/>
        <w:t>regarding the exclusive control acquisition of the company La Financière de l’Échiquier by the Primonial group</w:t>
      </w:r>
    </w:p>
    <w:p>
      <w:r>
        <w:t>The Competition Authority (Vice-President ruling alone),</w:t>
      </w:r>
    </w:p>
    <w:p>
      <w:r>
        <w:t xml:space="preserve">Having regard to the complete notification file submitted to the mergers department on April 12, 2019, concerning the exclusive control acquisition of the company La Financière de l’Échiquier by the Primonial group, formalized by a transfer and acquisition contract dated March 12, 2019;  </w:t>
        <w:br/>
        <w:t xml:space="preserve">Having regard to Book IV of the Commercial Code relating to the freedom of prices and competition, and in particular its Articles L. 430-1 to L. 430-7;  </w:t>
        <w:br/>
        <w:t xml:space="preserve">Having regard to the other documents in the file;  </w:t>
        <w:br/>
        <w:t>Having regard to Decision No. 19-JU-01 of May 22, 2019, by which the President of the Competition Authority appointed Mr. Emmanuel Combe, Vice-President, to adopt alone the decision resulting from the examination of this file.</w:t>
      </w:r>
    </w:p>
    <w:p>
      <w:r>
        <w:t xml:space="preserve">Adopts the following decision:  </w:t>
        <w:br/>
        <w:t xml:space="preserve">1. The notified operation consists of the transition from joint control of the company La Financière de l’Échiquier (hereinafter "LDFE") by Weber Investissements and the Primonial group to exclusive control of LDFE by the Primonial group.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retail banking, investment and financing banking, and the distribution of insurance products, which are consistently defined by the decision-making practice of the Competition Authority.  </w:t>
        <w:br/>
        <w:t xml:space="preserve">3. Regardless of the segmentation considered, the combined market shares of the parties are below 25% when their activities overlap or 30% in the case of presence in an upstream, downstream, or related market of one of the parties.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19-085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