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https://www.autoritedelaconcurrence.fr/fr/decision-de-controle-des-concentrations/relative-la-prise-de-controle-exclusif-de-la-societe-la-3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23-DCC-66 of April 14, 2023  </w:t>
        <w:br/>
        <w:t xml:space="preserve">regarding the exclusive control acquisition of the company La Méridionale by  </w:t>
        <w:br/>
        <w:t xml:space="preserve">the company CMA CGM  </w:t>
        <w:br/>
        <w:t xml:space="preserve">The Competition Authority,  </w:t>
        <w:br/>
        <w:t xml:space="preserve">Having regard to the complete notification file submitted to the mergers department on March 27, 2023,  </w:t>
        <w:br/>
        <w:t xml:space="preserve">concerning the exclusive control acquisition of the company La Méridionale and its subsidiaries by the company  </w:t>
        <w:br/>
        <w:t xml:space="preserve">CMA CGM, formalized by an acquisition agreement dated March 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La Méridionale by the  </w:t>
        <w:br/>
        <w:t xml:space="preserve">company CMA CGM. The parties are active in the maritime transport markets of  </w:t>
        <w:br/>
        <w:t xml:space="preserve">goods and passengers, transport brokerage, and logistics services.  </w:t>
        <w:br/>
        <w:t xml:space="preserve">The operation constitutes a concentration operation within the meaning of Article L. 430-1 of the Commercial Code.  </w:t>
        <w:br/>
        <w:t xml:space="preserve">Given the turnover achieved by the concerned companies,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23-045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