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https://www.autoritedelaconcurrence.fr/fr/decision-de-controle-des-concentrations/relative-la-prise-de-controle-exclusif-de-la-societe-la-4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25-DCC-300 of November 26, 2025  </w:t>
        <w:br/>
        <w:t xml:space="preserve">regarding the exclusive control acquisition of the company La Crau Dis  </w:t>
        <w:br/>
        <w:t xml:space="preserve">by the Carrefour group  </w:t>
        <w:br/>
        <w:t xml:space="preserve">The Competition Authority,  </w:t>
        <w:br/>
        <w:t xml:space="preserve">Having regard to the complete notification file sent to the mergers department on November 4, 2025,  </w:t>
        <w:br/>
        <w:t xml:space="preserve">concerning the exclusive control acquisition by the Carrefour group, via its subsidiary CSF, of the  </w:t>
        <w:br/>
        <w:t xml:space="preserve">company La Crau Dis, formalized by a framework agreement dated November 4,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control, by the Carrefour group, of  </w:t>
        <w:br/>
        <w:t xml:space="preserve">the company La Crau Dis, which operates and holds, via its subsidiary Christia, a supermarket-type  </w:t>
        <w:br/>
        <w:t xml:space="preserve">business fund with a sales area of 1,800 m², operated under the Carrefour Market brand and located in La Crau (83). The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II of Article L. 430-2 of the Commercial Code  </w:t>
        <w:br/>
        <w:t xml:space="preserve">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Single Article: The operation notified under number 25-317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