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14-DCC-70 of May 26, 2014  </w:t>
        <w:br/>
        <w:t xml:space="preserve">regarding the exclusive control acquisition of the company La Gujannaise  </w:t>
        <w:br/>
        <w:t xml:space="preserve">by the company Amidis et Compagnie (Carrefour Group)  </w:t>
        <w:br/>
        <w:t xml:space="preserve">The Competition Authority,  </w:t>
        <w:br/>
        <w:t xml:space="preserve">Having regard to the complete notification file submitted to the mergers department on April 29, 2014,  </w:t>
        <w:br/>
        <w:t xml:space="preserve">concerning the exclusive control acquisition of the company La Gujannaise by the operating company  </w:t>
        <w:br/>
        <w:t xml:space="preserve">Amidis et Compagnie and materialized by a synallagmatic promise of share transfer under suspensive conditions dated April 17,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La Gujannaise, which  </w:t>
        <w:br/>
        <w:t xml:space="preserve">operates a retail business predominantly in food under the Carrefour Market brand in Gujan-Mestras (33), by the operating company Amidis et Compagnie,  </w:t>
        <w:br/>
        <w:t xml:space="preserve">a wholly-owned subsidiary of Carrefour SA.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related to retail trade mentioned in point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14-071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