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https://www.autoritedelaconcurrence.fr/fr/decision-de-controle-des-concentrations/relative-la-prise-de-controle-exclusif-de-la-societe-large</w:t>
      </w:r>
    </w:p>
    <w:p>
      <w:r>
        <w:t>Pages translated : 6</w:t>
      </w:r>
    </w:p>
    <w:p/>
    <w:p>
      <w:r>
        <w:rPr>
          <w:b/>
        </w:rPr>
        <w:t>[Pages 1–3]</w:t>
      </w:r>
    </w:p>
    <w:p>
      <w:r>
        <w:t xml:space="preserve">FRENCH REPUBLIC  </w:t>
        <w:br/>
        <w:t xml:space="preserve">Decision No. 11-DCC-139 of September 20, 2011  </w:t>
        <w:br/>
        <w:t>regarding the exclusive control of the company Large Network Administration and its subsidiary LGD by the company SCC France</w:t>
      </w:r>
    </w:p>
    <w:p>
      <w:r>
        <w:t xml:space="preserve">The Competition Authority,  </w:t>
        <w:br/>
        <w:t xml:space="preserve">Having regard to the notification file submitted in full to the merger service on August 16, 2011, regarding the exclusive control of the company Large Network Administration (hereinafter "LNA") and its subsidiary FGD by the company SCC France;  </w:t>
        <w:br/>
        <w:t xml:space="preserve">Having regard to Book IV of the Commercial Code relating to the freedom of prices and competition, and in particular Articles L. 430-1 to L. 430-7;  </w:t>
        <w:br/>
        <w:t>Adopts the following decision:</w:t>
      </w:r>
    </w:p>
    <w:p>
      <w:r>
        <w:t xml:space="preserve">I. The companies concerned and the operation  </w:t>
        <w:br/>
        <w:t xml:space="preserve">1. SCC France is the French subsidiary of the SCC group, which is itself controlled by the Specialist Computer Holdings group (hereinafter "SCH"). SCH also controls the companies ETC Métrologie and Best’Ware. SCH is active in France in the sector of technological products and services, particularly infrastructure IT services.  </w:t>
        <w:br/>
        <w:t xml:space="preserve">2. Large Network Administration is the parent company of the LNA group, which consists of six subsidiaries (FGD, LNA US, LNA Deutschland, Hotgrinds, Click Call, and Itaque Investissement). The group is present in the sector of distribution of IT products and services.  </w:t>
        <w:br/>
        <w:t>3. The operation, formalized by a share transfer agreement signed by the parties on August 12, 2011, consists of the acquisition by SCC France of all the capital and voting rights of the company LNA, which itself held at the date of the operation all the shares and voting rights of FGD, the other subsidiaries of the group being excluded from the scope of the operation. As it results in the exclusive control of the LNA group by the SCH group, the notified operation constitutes a concentration operation within the meaning of Article L. 430-1 of the Commercial Code.</w:t>
      </w:r>
    </w:p>
    <w:p>
      <w:r>
        <w:t>4. The companies concerned together achieve a total worldwide turnover of more than 150 million euros (SCH group: [...] billion euros for the last fiscal year ending March 31, 2011, LNA group: [...] million euros for the last fiscal year ending December 31, 2010). Each achieves a turnover in France exceeding 50 million euros (SCH group: [...] billion euros for the last fiscal year ending March 31, 2011, LNA group: [...] million euros for the last fiscal year ending December 31, 2010). Given these turnovers, the operation does not have a Community dimension. However, the control thresholds mentioned in point I of Article L. 430-2 of the Commercial Code are exceeded. Therefore, the present operation is subject to the provisions of Articles L. 430-3 and following of the Commercial Code relating to economic concentration.</w:t>
      </w:r>
    </w:p>
    <w:p>
      <w:r>
        <w:t xml:space="preserve">II. Delimitation of the relevant markets  </w:t>
        <w:br/>
        <w:t xml:space="preserve">A. THE MARKETS FOR PRODUCTS AND SERVICES  </w:t>
        <w:br/>
        <w:t xml:space="preserve">5. The parties are simultaneously active in the sector of distribution of IT products and services.  </w:t>
        <w:br/>
        <w:t xml:space="preserve">1. IT SERVICES  </w:t>
        <w:br/>
        <w:t xml:space="preserve">6. The parties are simultaneously present in the IT services sector. Competition authorities, both French and Community, have already had the opportunity to rule on the delimitation of the relevant markets in this sector, while leaving the question open.  </w:t>
        <w:br/>
        <w:t xml:space="preserve">7. They have thus identified, within the market for IT services, seven functional categories of services: (i) global management services, (ii) business management services, (iii) software development and integration, (iv) consulting, (v) software maintenance and logistical support, (vi) maintenance of IT hardware and logistical support, and (vii) teaching and training. However, it has not been excluded that these seven categories of services could be considered as belonging to a global market for IT services to the extent that clients generally seek a service integrating all the activities described above and that there is a high degree of substitutability on the supply side.  </w:t>
        <w:br/>
        <w:t xml:space="preserve">8. Within global management services, the minister responsible for the economy has been led to consider that evolving leasing could potentially constitute a distinct segment. Nevertheless, it did not resolve the issue. In this case, only the SCH group is active in this segment.  </w:t>
        <w:br/>
        <w:t xml:space="preserve">9. Various alternative or complementary segmentations have also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enterprise communication and network infrastructure systems.  </w:t>
        <w:br/>
        <w:t xml:space="preserve">- the sector of activity, namely: (i) communications, (ii) education, (iii) energy and local networks, (iv) financial services, (v) the public sector, (vi) health, (vii) industry, (viii) commerce and distribution, (ix) services, and (x) transport.  </w:t>
        <w:br/>
        <w:t xml:space="preserve">10. The parties are active in the segments of global management, maintenance of IT hardware and logistical support, consulting, as well as teaching and training.  </w:t>
        <w:br/>
        <w:t xml:space="preserve">11. By distinguishing by type of information system, their activities overlap only in the segment of IT infrastructure systems.  </w:t>
        <w:br/>
        <w:t>12. Finally, they sell their services to both SMEs-SMIs and large companies, across all sectors of activity.</w:t>
      </w:r>
    </w:p>
    <w:p>
      <w:r>
        <w:t xml:space="preserve">2. IT PRODUCTS  </w:t>
        <w:br/>
        <w:t xml:space="preserve">13. In parallel to their activity in the IT services sector, the parties are present in the field of distribution of IT products. More specifically, the activities of SCH and LNA overlap in the field of retail distribution. SCH is also active as a wholesaler of IT products. Finally, both groups source hardware from IT manufacturers.  </w:t>
        <w:br/>
        <w:t xml:space="preserve">a) SOURCING OF IT PRODUCTS  </w:t>
        <w:br/>
        <w:t xml:space="preserve">14. Upstream, manufacturers sell their products either directly to distributors or, more often, to wholesalers, whose role is to have a wide range of IT products and to supply them to their distributor clients in very short timeframes. It may also happen that the manufacturer addresses final customers directly. In this case, it is referred to as "direct sales."  </w:t>
        <w:br/>
        <w:t>15. Regarding the sourcing of IT products, the Authority has considered distinguishing as many markets as there are families of products, to the extent that manufacturers cannot easily convert to the production of other products than their own and where the structure of supply, pricing dynamics, or manufacturing constraints can vary significantly from one family of products to another.</w:t>
      </w:r>
    </w:p>
    <w:p>
      <w:r>
        <w:rPr>
          <w:b/>
        </w:rPr>
        <w:t>[Pages 4–6]</w:t>
      </w:r>
    </w:p>
    <w:p>
      <w:r>
        <w:t>16. In the absence of any difficulty in the competitive analysis, the question of the precise delineation of this market can be left open.</w:t>
      </w:r>
    </w:p>
    <w:p>
      <w:r>
        <w:t>b) THE DISTRIBUTION OF IT PRODUCTS</w:t>
      </w:r>
    </w:p>
    <w:p>
      <w:r>
        <w:t>17. European and national decision-making practice considers that the wholesale distribution of IT products to distributors constitutes a distinct market from retail distribution due to specific characteristics. Wholesalers are indeed able to offer a very wide range of products by sourcing from several manufacturers and delivering to their clients in short timeframes, thanks to significant logistical capabilities. Furthermore, it has been noted that direct sales conducted by manufacturers to distributors exert a certain competitive pressure on wholesalers' sales, particularly in terms of price.</w:t>
      </w:r>
    </w:p>
    <w:p>
      <w:r>
        <w:t>18. Moreover, competition authorities have considered segmenting the market for the distribution of IT products based on the distribution channel and the type of software or hardware, both at the wholesale stage and at the retail stage.</w:t>
      </w:r>
    </w:p>
    <w:p>
      <w:r>
        <w:t>19. Three distribution channels have thus been identified: large and medium-sized generalist and specialized stores (for example, Carrefour, Auchan, Boulanger, Fnac, etc.); value-added resellers (VARs who integrate their own software with the hardware purchased wholesale for resale); and specialized distributors for professional clients ("corporate resellers").</w:t>
      </w:r>
    </w:p>
    <w:p>
      <w:r>
        <w:t>20. It has then been considered to segment the market according to the type of hardware sold, distinguishing in particular (i) microcomputers and servers, (ii) printers and cartridges, (iii) software, and (iv) accessories and other peripherals. The European Commission has also repeatedly considered the existence of distinct markets concerning servers, storage accessories, peripherals, and software.</w:t>
      </w:r>
    </w:p>
    <w:p>
      <w:r>
        <w:t>21. In this case, the operation results in a horizontal overlap in the retail market for IT hardware for professional clients, the parties to the operation being specialized distributors supplying this clientele with all types of products mentioned above.</w:t>
      </w:r>
    </w:p>
    <w:p>
      <w:r>
        <w:t>22. SCH also acts as a wholesaler to specialized distributors for professionals. This market is therefore concerned in terms of the vertical effects of the operation.</w:t>
      </w:r>
    </w:p>
    <w:p>
      <w:r>
        <w:t>23. In this case, the question of the precise definition of the market for the distribution of IT products can be left open insofar as, regardless of the delineation retained, the conclusions of the competitive analysis will remain unchanged.</w:t>
      </w:r>
    </w:p>
    <w:p>
      <w:r>
        <w:t>24. Competition authorities have, on several occasions, considered that the markets for IT services and the distribution of IT products were of national dimension, particularly due to the necessity for providers of these services as well as wholesalers and retailers of IT products to communicate regularly in the language of their clients and to maintain a relative proximity to them. However, they have noted a certain internationalization of supply and demand.</w:t>
      </w:r>
    </w:p>
    <w:p>
      <w:r>
        <w:t>25. Similarly, the markets for sourcing IT products from manufacturers could have at least a national dimension.</w:t>
      </w:r>
    </w:p>
    <w:p>
      <w:r>
        <w:t>26. In this case, the competitive analysis will be conducted at the national level.</w:t>
      </w:r>
    </w:p>
    <w:p>
      <w:r>
        <w:t>III. The Competitive Analysis</w:t>
      </w:r>
    </w:p>
    <w:p>
      <w:r>
        <w:t>27. Regarding IT services, the new entity will hold a market share of less than [0-5]%, regardless of the segmentation considered.</w:t>
      </w:r>
    </w:p>
    <w:p>
      <w:r>
        <w:t>28. Regarding the distribution of IT products, in the overall market for the retail sale of IT products to professionals by specialized distributors, the new entity will have a market share estimated at [5-10]% resulting from a very limited addition of market shares (+[0-5]%). Considering a segmentation by type of hardware, the positions of the new entity will never exceed [10-20]% ([10-20]% for software and [10-20]% for accessories and other peripherals) resulting from a low addition of market shares (less than [0-5]%).</w:t>
      </w:r>
    </w:p>
    <w:p>
      <w:r>
        <w:t>29. Regarding the sourcing of IT products, given the atomistic nature of the market and the weak positions of the parties in the downstream markets, the operation is not likely to strengthen the purchasing power of the new entity and place suppliers in a situation of economic dependence.</w:t>
      </w:r>
    </w:p>
    <w:p>
      <w:r>
        <w:t>30. The operation is therefore not likely to harm competition in these various markets through horizontal effects.</w:t>
      </w:r>
    </w:p>
    <w:p>
      <w:r>
        <w:t>31. Finally, any risk of harming competition through vertical effects can be ruled out between the wholesale market for IT products and the retail market, with SCH holding a limited market share of [10-20]% in the wholesale market to specialized distributors for professionals. Similarly, this risk can be ruled out between the retail markets for IT products and (i) the markets for the maintenance of IT hardware and software as well as (ii) the market for the sale of training services, given the limited market shares held by the new entity across all these markets.</w:t>
      </w:r>
    </w:p>
    <w:p>
      <w:r>
        <w:t>32. Given the above elements, the operation is not likely to harm competition in the relevant markets.</w:t>
      </w:r>
    </w:p>
    <w:p>
      <w:r>
        <w:t>DECIDES</w:t>
      </w:r>
    </w:p>
    <w:p>
      <w:r>
        <w:t>Sole Article: The operation notified under number 11-0154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