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https://www.autoritedelaconcurrence.fr/fr/decision-de-controle-des-concentrations/relative-la-prise-de-controle-exclusif-de-la-societe-laucel</w:t>
      </w:r>
    </w:p>
    <w:p>
      <w:r>
        <w:t>Pages translated : 2</w:t>
      </w:r>
    </w:p>
    <w:p/>
    <w:p>
      <w:r>
        <w:rPr>
          <w:b/>
        </w:rPr>
        <w:t>[Pages 1–2]</w:t>
      </w:r>
    </w:p>
    <w:p>
      <w:r>
        <w:t xml:space="preserve">FRENCH REPUBLIC  </w:t>
        <w:br/>
        <w:t xml:space="preserve">Decision No. 13-DCC-89 of July 16, 2013  </w:t>
        <w:br/>
        <w:t xml:space="preserve">regarding the exclusive control acquisition of the company Laucel  </w:t>
        <w:br/>
        <w:t xml:space="preserve">by the company ITM Alimentaire Centre Est  </w:t>
        <w:br/>
        <w:t>The Competition Authority,</w:t>
      </w:r>
    </w:p>
    <w:p>
      <w:r>
        <w:t>Having regard to the complete notification file submitted to the mergers department on June 26, 2013, concerning the exclusive control acquisition of the company Laucel by the company ITM Alimentaire Centre Est, formalized by a share transfer agreement dated May 30, 2013;</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company Laucel, operating a retail outlet with a predominant food focus in the city of Auxonne (21), by the company ITM Alimentaire Centre Est.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13-110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