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https://www.autoritedelaconcurrence.fr/fr/decision-de-controle-des-concentrations/relative-la-prise-de-controle-exclusif-de-la-societe-lb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14-DCC-26 of February 24, 2014  </w:t>
        <w:br/>
        <w:t>regarding the exclusive control acquisition of the company LB Dame SARL &amp; Partners SCA by Lone Star Real Estate Fund III</w:t>
      </w:r>
    </w:p>
    <w:p>
      <w:r>
        <w:t>The Competition Authority,</w:t>
      </w:r>
    </w:p>
    <w:p>
      <w:r>
        <w:t>Having regard to the notification file sent to the mergers department on January 31, 2014, concerning the exclusive control acquisition of LB Dame SARL &amp; Partners SCA by Lone Star Real Estate Fund III, materialized by a share purchase agreement dated December 17, 2013;</w:t>
      </w:r>
    </w:p>
    <w:p>
      <w:r>
        <w:t>Having regard to Book IV of the Commercial Code relating to the freedom of prices and competition, and in particular its Articles L. 430-1 to L. 430-7;</w:t>
      </w:r>
    </w:p>
    <w:p>
      <w:r>
        <w:t>Adopts the following decision:</w:t>
      </w:r>
    </w:p>
    <w:p>
      <w:r>
        <w:t>1. The notified operation consists of the exclusive control acquisition of the company LB Dame SARL &amp; Partners SCA, whose activity resides in the management, operation, and enhancement of "Cœur Défense," a real estate complex located in Courbevoie (92) in the La Défense district, by Lone Star Real Estate Fund III, a fund established to invest in commercial real estate and distressed assets. It constitutes a concentration operation within the meaning of Article L. 430-1 of the Commercial Code. Given the revenues generated by the companies concerned, the operation does not have a community dimension. However, the control thresholds mentioned in point I of Article L. 430-2 of the Commercial Code are exceeded. This operation is therefore subject to the provisions of Articles L. 430-3 and following of the Commercial Code relating to economic concentration.</w:t>
      </w:r>
    </w:p>
    <w:p>
      <w:r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14-015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