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https://www.autoritedelaconcurrence.fr/fr/decision-de-controle-des-concentrations/relative-la-prise-de-controle-exclusif-de-la-societe-lbp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20-DCC-48 of March 20, 2020  </w:t>
        <w:br/>
        <w:t xml:space="preserve">regarding the exclusive control acquisition of the company LBP IARD by the  </w:t>
        <w:br/>
        <w:t xml:space="preserve">company La Banque Postale  </w:t>
        <w:br/>
        <w:t xml:space="preserve">The Competition Authority,  </w:t>
        <w:br/>
        <w:t xml:space="preserve">Having regard to the complete notification file submitted to the mergers department on February 24, 2020,  </w:t>
        <w:br/>
        <w:t xml:space="preserve">concerning the exclusive control acquisition of the company LBP IARD by the company La Banque Postale,  </w:t>
        <w:br/>
        <w:t xml:space="preserve">formalized by a share transfer agreement dated January 31,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transition from joint control of the company LBP IARD by  </w:t>
        <w:br/>
        <w:t xml:space="preserve">the company La Banque Postale and Groupama to exclusive control of the company LBP IARD by  </w:t>
        <w:br/>
        <w:t xml:space="preserve">the company La Banque Postale. The parties are notably active in the sector of  </w:t>
        <w:br/>
        <w:t xml:space="preserve">production and distribution of insurance products. It constitutes a concentration operation within the meaning of Article L. 430-1 of the Commercial Code. Given the turnover achieved by the concerned companies, the notification thresholds of Article 1 paragraph 2 of Regulation (EC) 139/2004 are exceeded, but since each of the concerned companies generates more than two-thirds of its turnover within the Union in France, 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20-17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