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https://www.autoritedelaconcurrence.fr/fr/decision-de-controle-des-concentrations/relative-la-prise-de-controle-exclusif-de-la-societe-le-0</w:t>
      </w:r>
    </w:p>
    <w:p>
      <w:r>
        <w:t>Pages translated : 2</w:t>
      </w:r>
    </w:p>
    <w:p/>
    <w:p>
      <w:r>
        <w:rPr>
          <w:b/>
        </w:rPr>
        <w:t>[Pages 1–2]</w:t>
      </w:r>
    </w:p>
    <w:p>
      <w:r>
        <w:t xml:space="preserve">FRENCH REPUBLIC  </w:t>
        <w:br/>
        <w:t xml:space="preserve">Decision No. 17-DCC-07 of January 18, 2017  </w:t>
        <w:br/>
        <w:t xml:space="preserve">regarding the exclusive control acquisition of the company Le Goût du Naturel  </w:t>
        <w:br/>
        <w:t xml:space="preserve">by Banque Fédérative du Crédit Mutuel  </w:t>
        <w:br/>
        <w:t xml:space="preserve">The Competition Authority,  </w:t>
        <w:br/>
        <w:t xml:space="preserve">Having regard to the complete notification file submitted to the mergers department on December 14, 2016, concerning the exclusive control acquisition of the company Le Goût du Naturel by Banque Fédérative du Crédit Mutuel, formalized by an acquisition contract dated November 28, 2016;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company Le Goût du Naturel, active in the markets of fast food, by Banque Fédérative du Crédit Mutuel. It constitutes a concentration operation within the meaning of Article L. 430-1 of the Commercial Code. Given the turnover achieved by the concerned companies, the operation does not fall under the jurisdiction of the European Union. However,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16-261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