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https://www.autoritedelaconcurrence.fr/fr/decision-de-controle-des-concentrations/relative-la-prise-de-controle-exclusif-de-la-societe-le-2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19-DCC-258 of December 26, 2019  </w:t>
        <w:br/>
        <w:t xml:space="preserve">regarding the exclusive control acquisition of the company Le Calvez by the  </w:t>
        <w:br/>
        <w:t xml:space="preserve">Jacky Perrenot group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25, 2019, concerning the exclusive control acquisition of the company Le Calvez by the  </w:t>
        <w:br/>
        <w:t xml:space="preserve">Jacky Perrenot group, formalized by a firm acquisition offer dated September 23,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provided by the parties during the investigation;  </w:t>
        <w:br/>
        <w:t xml:space="preserve">Adopts the following decision:  </w:t>
        <w:br/>
        <w:t xml:space="preserve">1. The notified operation consists of the exclusive control acquisition by the Jacky Perrenot group of the  </w:t>
        <w:br/>
        <w:t xml:space="preserve">company Le Calvez, both active in the markets of freight transport, transport commissioning, and  </w:t>
        <w:br/>
        <w:t xml:space="preserve">logistics services. It constitutes a concentration within the meaning of Article L. 430-1 of the  </w:t>
        <w:br/>
        <w:t xml:space="preserve">Commercial Code. Given the turnover achieved by the concerned companies, the operation does not  </w:t>
        <w:br/>
        <w:t xml:space="preserve">fall under the jurisdiction of the European Union. However, the control thresholds mentioned in I of  </w:t>
        <w:br/>
        <w:t xml:space="preserve">Article L. 430-2 of the Commercial Code are exceeded. The present operation is therefore subject to  </w:t>
        <w:br/>
        <w:t xml:space="preserve">the provisions of Articles L. 430-3 and following of the Commercial Code relating to economic  </w:t>
        <w:br/>
        <w:t xml:space="preserve">concentration.  </w:t>
        <w:br/>
        <w:t xml:space="preserve">2. The markets concerned by the operation are the markets of freight transport, transport  </w:t>
        <w:br/>
        <w:t xml:space="preserve">commissioning, and logistics services. These markets are consistently defined by the decision-making  </w:t>
        <w:br/>
        <w:t xml:space="preserve">practice of the Competition Authority.  </w:t>
        <w:br/>
        <w:t xml:space="preserve">3. Regardless of the segmentations retained, the estimated market shares of the parties are below 25%  </w:t>
        <w:br/>
        <w:t xml:space="preserve">in the markets where the activities of the parties overlap and below 30% when their activities are  </w:t>
        <w:br/>
        <w:t xml:space="preserve">located in related markets.  </w:t>
        <w:br/>
        <w:t xml:space="preserve">4. Considering the elements of the file and notably point 384 of the guidelines of the Competition  </w:t>
        <w:br/>
        <w:t>Authority relating to the control of concentrations, the operation is not likely to harm competition.</w:t>
      </w:r>
    </w:p>
    <w:p>
      <w:r>
        <w:t xml:space="preserve">DECIDES  </w:t>
        <w:br/>
        <w:t xml:space="preserve">Sole Article: The operation notified under number 19-269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