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https://www.autoritedelaconcurrence.fr/fr/decision-de-controle-des-concentrations/relative-la-prise-de-controle-exclusif-de-la-societe-le-3</w:t>
      </w:r>
    </w:p>
    <w:p>
      <w:r>
        <w:t>Pages translated : 15</w:t>
      </w:r>
    </w:p>
    <w:p/>
    <w:p>
      <w:r>
        <w:rPr>
          <w:b/>
        </w:rPr>
        <w:t>[Pages 1–3]</w:t>
      </w:r>
    </w:p>
    <w:p>
      <w:r>
        <w:t xml:space="preserve">FRENCH REPUBLIC  </w:t>
        <w:br/>
        <w:t xml:space="preserve">Decision No. 23-DCC-57 of March 21, 2023  </w:t>
        <w:br/>
        <w:t xml:space="preserve">regarding the exclusive control of the company Le Chamois  </w:t>
        <w:br/>
        <w:t xml:space="preserve">by the Gifi group  </w:t>
        <w:br/>
        <w:t xml:space="preserve">The Competition Authority,  </w:t>
        <w:br/>
        <w:t xml:space="preserve">Having regard to the notification file submitted in full to the merger service on January 26, 2023,  </w:t>
        <w:br/>
        <w:t xml:space="preserve">regarding the exclusive control of the company Le Chamois by the company Gifi Mag, a subsidiary  </w:t>
        <w:br/>
        <w:t xml:space="preserve">of the Gifi group, formalized by an offer letter dated June 30, 2022, by a share transfer agreement  </w:t>
        <w:br/>
        <w:t xml:space="preserve">dated September 30, 2022, and the draft shareholders' agreement attached thereto, and by an  </w:t>
        <w:br/>
        <w:t xml:space="preserve">amendment dated December 16, 2022, to the transfer agreement;  </w:t>
        <w:br/>
        <w:t xml:space="preserve">Having regard to Book IV of the Commercial Code relating to price and competition freedom, and  </w:t>
        <w:br/>
        <w:t xml:space="preserve">notably its Articles L. 430-1 to L. 430-7;  </w:t>
        <w:br/>
        <w:t xml:space="preserve">Having regard to the commitments submitted on February 23, 2023, and last modified on March 15, 2023;  </w:t>
        <w:br/>
        <w:t xml:space="preserve">Having regard to the additional elements transmitted by the notifying party during the investigation;  </w:t>
        <w:br/>
        <w:t xml:space="preserve">Having regard to the other documents in the file;  </w:t>
        <w:br/>
        <w:t xml:space="preserve">Adopts the following decision:  </w:t>
        <w:br/>
        <w:t xml:space="preserve">I. The concerned companies and the operation  </w:t>
        <w:br/>
        <w:t xml:space="preserve">1. The company Gifi Mag is 100% owned by the company Gifi, whose capital is wholly  </w:t>
        <w:br/>
        <w:t xml:space="preserve">owned directly and indirectly by the Ginestet family. Gifi is the parent company of the  </w:t>
        <w:br/>
        <w:t xml:space="preserve">eponymous group active in the distribution of bazaar and decoration products. In France,  </w:t>
        <w:br/>
        <w:t xml:space="preserve">it operates 551 stores, of which 522 are owned and 29 are owned by third parties.  </w:t>
        <w:br/>
        <w:t xml:space="preserve">2. The company Le Chamois is 100% owned by the company Dallet, which is itself owned  </w:t>
        <w:br/>
        <w:t xml:space="preserve">by Mr. David Costes, the president of the company, and his family. The company Le Chamois operates  </w:t>
        <w:br/>
        <w:t xml:space="preserve">21 stores specializing in the sale of DIY products in Île-de-France under the brand  </w:t>
        <w:br/>
        <w:t xml:space="preserve">"Bricolex." All these outlets are owned.  </w:t>
        <w:br/>
        <w:t xml:space="preserve">1 GPG owns the business assets, but these stores can be operated by third parties under  </w:t>
        <w:br/>
        <w:t>management mandate contracts.</w:t>
      </w:r>
    </w:p>
    <w:p>
      <w:r>
        <w:t xml:space="preserve">3. The contemplated operation formalized by a share transfer agreement signed on  </w:t>
        <w:br/>
        <w:t xml:space="preserve">September 30, 2022, and its amendment of December 16, 2022, is a two-step operation:  </w:t>
        <w:br/>
        <w:t xml:space="preserve">- in the first step, the company Gifi Mag will acquire 49% of the capital of the company  </w:t>
        <w:br/>
        <w:t xml:space="preserve">Le Chamois, the remaining share held by the company Dallet. At the end of this first  </w:t>
        <w:br/>
        <w:t xml:space="preserve">phase, the company Le Chamois will be jointly controlled by the companies Dallet and Gifi  </w:t>
        <w:br/>
        <w:t xml:space="preserve">Mag, the latter having veto rights over various strategic decisions within the meaning of  </w:t>
        <w:br/>
        <w:t xml:space="preserve">merger control. Indeed, the draft shareholders' agreement attached to the share transfer  </w:t>
        <w:br/>
        <w:t xml:space="preserve">agreement notably provides that the appointment and dismissal of the company's executives  </w:t>
        <w:br/>
        <w:t xml:space="preserve">and certain decisions relating to the company's commercial policy will be subject to the  </w:t>
        <w:br/>
        <w:t xml:space="preserve">prior agreement of the Gifi group.  </w:t>
        <w:br/>
        <w:t xml:space="preserve">- in the second step, Gifi will acquire the remaining capital of the company Le Chamois.  </w:t>
        <w:br/>
        <w:t xml:space="preserve">The agreement specifies that "the remaining shares of the Company, namely seven thousand two  </w:t>
        <w:br/>
        <w:t xml:space="preserve">hundred fifty-three (7,253) shares representing approximately 51% of the Company's capital,  </w:t>
        <w:br/>
        <w:t xml:space="preserve">will be subject to a unilateral promise of sale and a unilateral promise of purchase (the  </w:t>
        <w:br/>
        <w:t xml:space="preserve">"Promises"), which will be included in the shareholders' agreement to be signed between  </w:t>
        <w:br/>
        <w:t xml:space="preserve">the Parties on the Closing Date. The Parties declare and acknowledge that the signing of  </w:t>
        <w:br/>
        <w:t xml:space="preserve">the said Promises is an essential and determining condition of the transfer at hand, without  </w:t>
        <w:br/>
        <w:t xml:space="preserve">which the Parties would not have contracted." The promise of sale granted by the seller to the  </w:t>
        <w:br/>
        <w:t xml:space="preserve">buyer is exercisable from the completion of the initial acquisition and until [the 1st quarter of 2024]  </w:t>
        <w:br/>
        <w:t xml:space="preserve">and the promise of purchase granted by the buyer to the seller is exercisable [in the 1st quarter of 2024].  </w:t>
        <w:br/>
        <w:t xml:space="preserve">The promise of sale provides that "the majority shareholder [Dallet] will irrevocably commit  </w:t>
        <w:br/>
        <w:t xml:space="preserve">to offer the minority shareholder [Gifi] the opportunity to acquire all the shares under promise,  </w:t>
        <w:br/>
        <w:t xml:space="preserve">it being specified that the exercise must cover all the shares under promise." [Confidential].  </w:t>
        <w:br/>
        <w:t xml:space="preserve">4. A concentration operation is deemed completed only if it results in a lasting change of  </w:t>
        <w:br/>
        <w:t xml:space="preserve">control of the concerned company. Therefore, as specified in the consolidated jurisdictional  </w:t>
        <w:br/>
        <w:t xml:space="preserve">communication of the European Commission (hereinafter "the Commission"), "the question of  </w:t>
        <w:br/>
        <w:t xml:space="preserve">to what extent an operation leads to a lasting change in the market structure must also be  </w:t>
        <w:br/>
        <w:t xml:space="preserve">taken into account to assess a series of operations, the first of which is only of a transitional  </w:t>
        <w:br/>
        <w:t xml:space="preserve">nature." By reference to the consolidated communication, the Authority indicates in its  </w:t>
        <w:br/>
        <w:t xml:space="preserve">guidelines that it "retains two conditions to assess whether a transitional operation constitutes  </w:t>
        <w:br/>
        <w:t xml:space="preserve">a lasting change of control. On the one hand, the transitional nature of the operation must be  </w:t>
        <w:br/>
        <w:t xml:space="preserve">agreed upon among the various acquirers in a legally binding manner, and, on the other hand,  </w:t>
        <w:br/>
        <w:t xml:space="preserve">there must be no doubt regarding the promptness of the second step." The Commission adds that  </w:t>
        <w:br/>
        <w:t xml:space="preserve">"when these conditions are not met, particularly if there is doubt regarding the promptness of  </w:t>
        <w:br/>
        <w:t xml:space="preserve">the second step after the first acquisition, the Commission considers the first operation as a  </w:t>
        <w:br/>
        <w:t xml:space="preserve">distinct concentration."  </w:t>
        <w:br/>
        <w:t xml:space="preserve">5. In this regard, the consolidated communication specifically mentions the scenario of an  </w:t>
        <w:br/>
        <w:t xml:space="preserve">operation leading to joint control during a start-up period but converted, under legally binding  </w:t>
        <w:br/>
        <w:t xml:space="preserve">agreements, into exclusive control exercised by one of the shareholders. The  </w:t>
        <w:br/>
        <w:t xml:space="preserve">2 Consolidated communication on the competence of the Commission under Council Regulation (EC) No. 139/2004  </w:t>
        <w:br/>
        <w:t xml:space="preserve">on the control of concentrations between undertakings, point 29.  </w:t>
        <w:br/>
        <w:t xml:space="preserve">3 Guidelines of the Competition Authority relating to merger control, point 93.  </w:t>
        <w:br/>
        <w:t xml:space="preserve">4 Consolidated communication on the competence of the Commission under Council Regulation (EC) No. 139/2004  </w:t>
        <w:br/>
        <w:t xml:space="preserve">on the control of concentrations between undertakings, point 33.  </w:t>
        <w:br/>
        <w:t>2</w:t>
      </w:r>
    </w:p>
    <w:p>
      <w:r>
        <w:t xml:space="preserve">Commission considers that "given the fact that joint control may not constitute a lasting change of  </w:t>
        <w:br/>
        <w:t xml:space="preserve">control, the entire operation can be considered as an acquisition of sole control. In the past,  </w:t>
        <w:br/>
        <w:t xml:space="preserve">the Commission has admitted that these start-up periods could last up to three years. Such a  </w:t>
        <w:br/>
        <w:t xml:space="preserve">period seems too long to exclude an influence of joint control on the market structure. The  </w:t>
        <w:br/>
        <w:t xml:space="preserve">period in question should therefore, in general, not exceed one year and the period of joint control  </w:t>
        <w:br/>
        <w:t xml:space="preserve">should only be of a transitional nature. Only such a relatively short period will ensure that the  </w:t>
        <w:br/>
        <w:t xml:space="preserve">period of joint control cannot, in all likelihood, have a particular impact on the market structure  </w:t>
        <w:br/>
        <w:t xml:space="preserve">and can therefore be considered as not leading to a lasting change of control."  </w:t>
        <w:br/>
        <w:t xml:space="preserve">6. In this case, the transitional nature of the operation is established*, and the implementation  </w:t>
        <w:br/>
        <w:t xml:space="preserve">of the second step will occur no later than [in the 1st quarter of 2024], that is, less than one year  </w:t>
        <w:br/>
        <w:t xml:space="preserve">after the completion of the first operation. It follows from the above that the period of joint control  </w:t>
        <w:br/>
        <w:t xml:space="preserve">of the company Le Chamois by the companies Dallet and Gifi Mag can be considered as purely  </w:t>
        <w:br/>
        <w:t xml:space="preserve">transitional.  </w:t>
        <w:br/>
        <w:t xml:space="preserve">7. As it results in the exclusive control of Le Chamois by the Gifi group, the notified operation  </w:t>
        <w:br/>
        <w:t xml:space="preserve">constitutes a concentration operation within the meaning of Article L. 430-1 of the Commercial Code.  </w:t>
        <w:br/>
        <w:t xml:space="preserve">8. The concerned companies together achieve a total turnover excluding taxes worldwide of more  </w:t>
        <w:br/>
        <w:t xml:space="preserve">than 75 million euros (Gifi group: [≥ 75 million] euros for the fiscal year ending December 31, 2021;  </w:t>
        <w:br/>
        <w:t xml:space="preserve">Le Chamois: [≤ 75 million] euros for the fiscal year ending January 31, 2022, entirely generated in France).  </w:t>
        <w:br/>
        <w:t xml:space="preserve">Each of these companies has achieved in France a turnover exceeding 15 million euros in the retail  </w:t>
        <w:br/>
        <w:t xml:space="preserve">trade sector (Gifi group: [≥ 15 million] euros for the fiscal year ending December 31, 2021;  </w:t>
        <w:br/>
        <w:t xml:space="preserve">Le Chamois: [≥ 15 million] euros for the fiscal year ending January 31, 2022). Given these turnover figures,  </w:t>
        <w:br/>
        <w:t xml:space="preserve">the operation does not fall under the jurisdiction of the European Union. However, the control thresholds  </w:t>
        <w:br/>
        <w:t xml:space="preserve">mentioned in II of Article L. 430-2 of the Commercial Code are exceeded. This operation is therefore  </w:t>
        <w:br/>
        <w:t xml:space="preserve">subject to the provisions of Articles L. 430-3 and following of the Commercial Code relating to economic concentration.  </w:t>
        <w:br/>
        <w:t xml:space="preserve">II. Definition of the relevant markets  </w:t>
        <w:br/>
        <w:t xml:space="preserve">9. Following a transition period, the Bricolex outlets will gradually transition to the GIFI brand  </w:t>
        <w:br/>
        <w:t xml:space="preserve">during the year 2024. They will then sell bazaar and decoration products. The operation will thus ultimately  </w:t>
        <w:br/>
        <w:t xml:space="preserve">result in horizontal overlaps in the markets for bazaar and decoration products. During the transition period,  </w:t>
        <w:br/>
        <w:t xml:space="preserve">the operation will not result in any overlap in the market for the distribution of DIY products, in which  </w:t>
        <w:br/>
        <w:t xml:space="preserve">the Bricolex brand is present. Indeed, Gifi stores are not active in this market, given their very limited  </w:t>
        <w:br/>
        <w:t xml:space="preserve">offering of DIY products.  </w:t>
        <w:br/>
        <w:t xml:space="preserve">5 Previous consolidated communication, point 34.  </w:t>
        <w:br/>
        <w:t xml:space="preserve">* Correction of a material error.  </w:t>
        <w:br/>
        <w:t>3</w:t>
      </w:r>
    </w:p>
    <w:p>
      <w:r>
        <w:rPr>
          <w:b/>
        </w:rPr>
        <w:t>[Pages 4–6]</w:t>
      </w:r>
    </w:p>
    <w:p>
      <w:r>
        <w:t>10. In the retail sectors, competition authorities generally identify two categories of markets: upstream supply markets, which connect suppliers and retail businesses, and downstream distribution markets, which connect retail businesses and final consumers.</w:t>
      </w:r>
    </w:p>
    <w:p>
      <w:r>
        <w:t>11. The proposed operation therefore concerns the sector of bazaar and decoration products in which the parties will be active upstream as purchasers and downstream as sellers.</w:t>
      </w:r>
    </w:p>
    <w:p>
      <w:r>
        <w:t>A. THE UPSTREAM SUPPLY MARKET FOR BAZAAR AND DECORATION PRODUCTS</w:t>
      </w:r>
    </w:p>
    <w:p>
      <w:r>
        <w:t>1. PRODUCT MARKETS</w:t>
      </w:r>
    </w:p>
    <w:p>
      <w:r>
        <w:t>12. National decision-making practice has identified a supply market for bazaar and decoration products. There is no need to challenge this delineation in the context of the present operation.</w:t>
      </w:r>
    </w:p>
    <w:p>
      <w:r>
        <w:t>13. In this case, the parties will be active as purchasers in the supply market for bazaar and decoration products.</w:t>
      </w:r>
    </w:p>
    <w:p>
      <w:r>
        <w:t>2. GEOGRAPHICAL MARKETS</w:t>
      </w:r>
    </w:p>
    <w:p>
      <w:r>
        <w:t>14. Regarding the supply markets for bazaar and decoration products, the decision-making practice of competition authorities has so far retained at least a national dimension. It has also conducted its analysis at the European and global levels.</w:t>
      </w:r>
    </w:p>
    <w:p>
      <w:r>
        <w:t>15. In any case, the question of the precise dimension of the supply market for bazaar and decoration products can be left open, as the conclusions of the competitive analysis remain unchanged regardless of the dimension considered. In this case, the analysis will be conducted at the national level, the most conservative level of analysis.</w:t>
      </w:r>
    </w:p>
    <w:p>
      <w:r>
        <w:t>B. DOWNSTREAM RETAIL DISTRIBUTION MARKETS FOR BAZAAR AND DECORATION PRODUCTS</w:t>
      </w:r>
    </w:p>
    <w:p>
      <w:r>
        <w:t>1. PRODUCT MARKETS</w:t>
      </w:r>
    </w:p>
    <w:p>
      <w:r>
        <w:t>16. National decision-making practice has recognized the existence of a market for the distribution of bazaar and decoration products, which includes all decoration and home improvement products, excluding "furnishing" furniture and household appliances.</w:t>
      </w:r>
    </w:p>
    <w:p>
      <w:r>
        <w:t>17. The Authority has also considered a segmentation of the downstream retail markets for bazaar and decoration products based on two criteria: price and distribution channel.</w:t>
      </w:r>
    </w:p>
    <w:p>
      <w:r>
        <w:t>a) Distinction Based on Price</w:t>
      </w:r>
    </w:p>
    <w:p>
      <w:r>
        <w:t>18. Decision-making practice has recognized a specific market for the retail distribution of low and medium-priced bazaar and decoration products as opposed to a market for the distribution of bazaar and decoration products by high-end brands. Indeed, the Authority noted that the brands present in the retail distribution market for low and medium-priced bazaar and decoration products distribute moderately priced products and do not rely on well-known brands.</w:t>
      </w:r>
    </w:p>
    <w:p>
      <w:r>
        <w:t>19. There is no need to challenge this delineation in the context of the present instruction.</w:t>
      </w:r>
    </w:p>
    <w:p>
      <w:r>
        <w:t>20. In this case, the parties will be active in the market for the distribution of low and medium-priced bazaar and decoration products.</w:t>
      </w:r>
    </w:p>
    <w:p>
      <w:r>
        <w:t>b) Distinction by Distribution Channel</w:t>
      </w:r>
    </w:p>
    <w:p>
      <w:r>
        <w:t>21. The Authority considered that the retail distribution market for bazaar and decoration products consists of large specialized stores (hereinafter, "GSS") in bazaar and decoration products, specialized stores in personal and home equipment (such as Bouchara and B&amp;M), discount stores offering bazaar and decoration items (such as Noz and Maxxilot), and certain large food stores (hereinafter, "GSA"). Regarding the latter, the Authority estimated that only those with a sales area of more than 6,000 m² should be included in the analysis, as they are the only ones capable of exerting real competitive pressure on the parties' activities. There is no need to challenge these delineations in the context of the present decision.</w:t>
      </w:r>
    </w:p>
    <w:p>
      <w:r>
        <w:t>22. The notifying party nevertheless considers that large DIY stores (hereinafter "GSB") as well as independent bazaars exert competitive pressure on GSS in bazaar and decoration products in Paris.</w:t>
      </w:r>
    </w:p>
    <w:p>
      <w:r>
        <w:t>23. The Authority has already ruled on the consideration of GSB as competitors of GSS in bazaar and decoration products. It specifically indicated that decoration items, excluding paint and wallpaper, represent a very small share of the turnover of these brands. It also specified that according to sector studies related to the distribution of furniture and decoration items, the product offering of GSB is primarily focused on "furnishing" furniture and lighting. Finally, it noted that GSB have too limited an assortment of bazaar and decoration products to be considered competitors. The instruction confirmed that these findings remained valid and that there was therefore no need to include GSB in the market for the distribution of bazaar and decoration products.</w:t>
      </w:r>
    </w:p>
    <w:p>
      <w:r>
        <w:t>24. Regarding independent bazaars, the Authority considers that the sales areas, generally very limited in these outlets, not exceeding 40 m² to 50 m², do not allow for offering a sufficiently wide range of products. Furthermore, the layout of these outlets and the way the products are presented do not meet the standards of the GSS in bazaar and decoration products and do not offer the same shopping comfort. The Authority considers that these outlets cannot be regarded as competitors of the GSS in bazaar and decoration products.</w:t>
      </w:r>
    </w:p>
    <w:p>
      <w:r>
        <w:t>25. Finally, the Authority considered that, given the very small share represented by online sales of bazaar and decoration products in the total sales of these products, the necessity for the consumer to see the product, and the impulsive nature of the purchase of such products, online sales of low and medium-priced bazaar and decoration products could constitute a distinct market from in-store sales of these same products. However, it left open the question of whether to include online sales and physical store sales in a single market.</w:t>
      </w:r>
    </w:p>
    <w:p>
      <w:r>
        <w:t>26. In this case, this question can also be left open insofar as, regardless of the hypothesis retained, the conclusions of the competitive analysis will remain unchanged. The competitive analysis will be conducted by considering a market for physical in-store sales separate from online sales, the most conservative hypothesis.</w:t>
      </w:r>
    </w:p>
    <w:p>
      <w:r>
        <w:t>2. GEOGRAPHICAL MARKETS</w:t>
      </w:r>
    </w:p>
    <w:p>
      <w:r>
        <w:t>27. Distribution markets generally undergo a dual analysis at both the national and local levels. Indeed, significant parameters of competition can be assessed at the national level, particularly when prices are largely determined at this level by network heads, leaving only a small margin of pricing maneuver for store managers. Similarly, certain non-price strategic decisions can be centralized, such as assortment structures, after-sales services, quality controls, advertising campaigns, customer loyalty policies (for example, through loyalty cards), promotional actions, or the launch of new products, or even the store location policy.</w:t>
      </w:r>
    </w:p>
    <w:p>
      <w:r>
        <w:t>28. In these conditions, the positions of the various players at the national level as well as the characteristics of the relevant product markets must be taken into account to inform the analysis of the effects of the operation on the relevant market.</w:t>
      </w:r>
    </w:p>
    <w:p>
      <w:r>
        <w:t>29. Regarding the analysis at the local level, the primary level where competition occurs from the consumer's perspective, the Authority considered in decision n° 17-DCC-216 that the size of the catchment areas varies depending on the location of consumers of bazaar and decoration products. Thus, the Authority considered that it was appropriate to distinguish between stores located in Paris and those located in metropolitan France outside of Paris. The Authority thus retained:</w:t>
        <w:br/>
        <w:t>(i) areas defined by a driving time of a maximum of 20 minutes for stores located outside of Paris intra-muros;</w:t>
        <w:br/>
        <w:t>(ii) areas of one to two kilometers for stores located in Paris intra-muros;</w:t>
      </w:r>
    </w:p>
    <w:p>
      <w:r>
        <w:rPr>
          <w:b/>
        </w:rPr>
        <w:t>[Pages 7–9]</w:t>
      </w:r>
    </w:p>
    <w:p>
      <w:r>
        <w:t>(iii) zones defined by a driving time of a maximum of 20, 30, and 45 minutes for stores located in the overseas departments and regions (DROM).</w:t>
      </w:r>
    </w:p>
    <w:p>
      <w:r>
        <w:t>30. There is no need to challenge this definition during the examination of the present operation. In this case, the Bricolex outlets are exclusively present in the Paris region, both in Paris intra-muros and in the suburban areas. Consequently, the local analysis, characterizing the competitive situation that will result from the transformation of Bricolex outlets into Gifi outlets, will be conducted, on the one hand, for the target outlets located in the suburban areas, in zones defined by a driving time of a maximum of 20 minutes, and on the other hand, for the target outlets located in Paris intra-muros in zones defined by a distance of one to two kilometers.</w:t>
      </w:r>
    </w:p>
    <w:p>
      <w:r>
        <w:t>31. Finally, regarding online sales, the competitive analysis is traditionally conducted at the national level, given the linguistic differences, the heterogeneity of consumer habits, as well as the costs and delivery times. There is no need to challenge this definition during the examination of the present operation.</w:t>
      </w:r>
    </w:p>
    <w:p>
      <w:r>
        <w:t>III. Competitive Analysis</w:t>
      </w:r>
    </w:p>
    <w:p>
      <w:r>
        <w:t>32. Following a transition period, the Bricolex outlets will gradually operate under the GIFI brand during the year 2024. They will then sell bazaar and decoration products. The operation will ultimately lead to horizontal overlaps in the markets for bazaar and decoration products. During the transition period, however, the operation will not result in any overlap in the market for the distribution of DIY products, in which the Bricolex brand is present. Indeed, Gifi stores are not active in this market, given their very limited offering in DIY products.</w:t>
      </w:r>
    </w:p>
    <w:p>
      <w:r>
        <w:t>A. UPSTREAM MARKETS FOR SUPPLYING BAZAAR AND DECORATION PRODUCTS</w:t>
      </w:r>
    </w:p>
    <w:p>
      <w:r>
        <w:t>33. According to the parties' estimates, the purchasing share of the new entity, after the transformation of the Bricolex outlets, can be estimated at less than 3% of the French market for supplying bazaar and decoration products.</w:t>
      </w:r>
    </w:p>
    <w:p>
      <w:r>
        <w:t>34. The operation is therefore not likely to harm competition through horizontal effects in the upstream markets for supplying bazaar and decoration products.</w:t>
      </w:r>
    </w:p>
    <w:p>
      <w:r>
        <w:t>11 See in particular the European Commission decision M. 5721 Otto/Primondo Assets of February 16, 2010; the Authority's decision No. 09-DCC-26 of July 24, 2009, regarding the acquisition of Camif Collectivités by Manutan International, and the Authority's decisions No. 22-DCC-31 and No. 17-DCC-216 mentioned above.</w:t>
      </w:r>
    </w:p>
    <w:p>
      <w:r>
        <w:t>12 Furthermore, the operation will not have a negative impact on the markets for the distribution of DIY products, consistently defined by decision-making practice, whether upstream or downstream, given Bricolex's limited market shares in these markets (in any case below 25% downstream, with the presence of other GSBs in each of the relevant areas), including through a decrease in the diversity of the offering in DIY products.</w:t>
      </w:r>
    </w:p>
    <w:p>
      <w:r>
        <w:t>* Correction of a material error.</w:t>
      </w:r>
    </w:p>
    <w:p>
      <w:r>
        <w:t>B. DOWNSTREAM MARKETS FOR RETAIL DISTRIBUTION OF BAZAAR AND DECORATION PRODUCTS</w:t>
      </w:r>
    </w:p>
    <w:p>
      <w:r>
        <w:t>35. Since the target does not operate an online sales site, the analysis will be conducted solely on the market for in-store sales of bazaar and decoration products.</w:t>
      </w:r>
    </w:p>
    <w:p>
      <w:r>
        <w:t>1. AT THE NATIONAL LEVEL</w:t>
      </w:r>
    </w:p>
    <w:p>
      <w:r>
        <w:t>36. According to the parties' estimates, the market share of the new entity, after the transformation of the Bricolex outlets, can be estimated at less than 15% of the French market for retail distribution in-store of low and medium-priced bazaar and decoration products.</w:t>
      </w:r>
    </w:p>
    <w:p>
      <w:r>
        <w:t>37. The operation is therefore not likely to harm competition through horizontal effects at the national level regarding the retail distribution in-store of low and medium-priced bazaar and decoration products.</w:t>
      </w:r>
    </w:p>
    <w:p>
      <w:r>
        <w:t>2. AT THE LOCAL LEVEL</w:t>
      </w:r>
    </w:p>
    <w:p>
      <w:r>
        <w:t>38. The operation will allow Gifi to acquire 21 outlets currently operating under the Bricolex brand, 8 located in Paris intra-muros and 13 located in the suburban areas.</w:t>
      </w:r>
    </w:p>
    <w:p>
      <w:r>
        <w:t>39. In order to assess whether a concentration operation is likely to harm competition in a market, the guidelines of the Competition Authority indicate that two criteria may be examined: (i) the market shares of the new entity and (ii) the degree of market concentration. These two criteria are assessed on a case-by-case basis by the Authority depending on the characteristics and competitive structure of the analyzed markets.</w:t>
      </w:r>
    </w:p>
    <w:p>
      <w:r>
        <w:t>40. To assess the effects of the notified operation, the Authority first conducted an analysis based on the market shares corresponding to the situation that will ultimately result from the acquisition of the Bricolex outlets, which will only sell bazaar and decoration products. In each of the examined catchment areas, the notifying party provided an estimate of the sales areas of all the outlets present in the area, which served as the basis for estimating market shares by considering the hypothetical situation where the only change from the current state of the market would be a conversion of the entire sales area of the Bricolex outlets to the sale of bazaar and decoration products. The market shares were then calculated as follows:</w:t>
      </w:r>
    </w:p>
    <w:p>
      <w:r>
        <w:t>- For the 13 Bricolex outlets located in the suburban areas, isochrone zones corresponding to a travel time of 20 minutes by car from the target outlets were defined, taking into account the borders of the area. The determination of these isochrone zones led to the identification of 13 zones of activity overlap;</w:t>
      </w:r>
    </w:p>
    <w:p>
      <w:r>
        <w:t>- For the 8 Bricolex outlets located in Paris intra-muros, isochrone zones corresponding to a distance of 1 to 2 km from the target outlets were defined. The determination of these isochrone zones led to identify 3 zones of activity overlap at 1 km. From 1.1 km onwards, however, activity overlaps appear in 3 additional zones. There is no activity overlap between the Bricolex outlets located in the 15th and 16th districts and those of Gifi, the latter having no outlet located less than 2 km from these two outlets. The analysis was thus conducted on zones at 1.1 km and 2 km.</w:t>
      </w:r>
    </w:p>
    <w:p>
      <w:r>
        <w:t>41. For the zones in which overlaps appear, the Authority determined the market shares in terms of area on a market limited to the closest competitors of the parties, namely the large specialized stores (GSS) in bazaar and decoration products, the GSS in home and personal equipment, and the discounters. The Authority also took into account the activity of the large retail stores (GSA) of more than 6,000 m² in bazaar and decoration products.</w:t>
      </w:r>
    </w:p>
    <w:p>
      <w:r>
        <w:t>42. The market shares were calculated based on the sales area of each store, with the areas of the GSS in home and personal equipment, discounters, and GSA being weighted to only take into account the area dedicated to bazaar and decoration products. Furthermore, given the Parisian standards regarding commercial surface area, the areas of less than 300 m² of the aforementioned categories of stores were also taken into account in this case. However, for the reasons explained in point 24, the Authority did not consider independent bazaars.</w:t>
      </w:r>
    </w:p>
    <w:p>
      <w:r>
        <w:t>43. Following these calculations, very different competitive situations appear depending on whether one considers the areas located in the suburban areas or those located in Paris intra-muros.</w:t>
      </w:r>
    </w:p>
    <w:p>
      <w:r>
        <w:t>44. Thus, for the suburban areas, the market share of Gifi as it would result from the transformation of the Bricolex outlets into bazaar and decoration outlets would not exceed 40% in any of the 13 zones, and the new entity would still face competition from at least two direct competitors such as Action, Hema, or Søstrene Grene.</w:t>
      </w:r>
    </w:p>
    <w:p>
      <w:r>
        <w:t>45. In contrast, for the 6 overlapping zones located in Paris intra-muros, considering zones defined by a travel distance of 1.1 km and 2 km from the Bricolex outlets, the market shares of the parties are as follows:</w:t>
      </w:r>
    </w:p>
    <w:p>
      <w:r>
        <w:t>Zone of 1.1 km Gifi Bricolex Cumulative Zone of 2 km Gifi Bricolex Cumulative</w:t>
        <w:br/>
        <w:t>PARIS 10 [40-50]% [30-40]% [70-80]% PARIS 10 [20-30]% [10-20]% [30-40]%</w:t>
        <w:br/>
        <w:t>PARIS 11 [70-80]% [10-20]% [80-90]% PARIS 11 [40-50]% [20-30]% [60-70]%</w:t>
        <w:br/>
        <w:t>PARIS 12 [50-60]% [10-20]% [60-70]% PARIS 12 [30-40]% [10-20]% [50-60]%</w:t>
        <w:br/>
        <w:t>PARIS 14 [60-70]% [20-30]% [90-100]% PARIS 14 [40-50]% [10-20]% [50-60]%</w:t>
        <w:br/>
        <w:t>PARIS 18 [70-80]% [20-30]% [90-100]% PARIS 18 [80-90]% [5-10]% [80-90]%</w:t>
        <w:br/>
        <w:t>PARIS 19 [70-80]% [10-20]% [90-100]% PARIS 19 [70-80]% [10-20]% [90-100]%</w:t>
      </w:r>
    </w:p>
    <w:p>
      <w:r>
        <w:t>Zone of Paris 10</w:t>
      </w:r>
    </w:p>
    <w:p>
      <w:r>
        <w:t>46. In the Paris 10 zone, the market share of the new entity will amount to [70-80]% in a zone of 1.1 km and [30-40]% in a zone of 2 km.</w:t>
      </w:r>
    </w:p>
    <w:p>
      <w:r>
        <w:t>47. In the zone defined by a travel distance of 1.1 km, the competitive offering is limited and supported by a Hema outlet and the discounter Normal. However, at the edge of the zone (less than 200 meters) is another Hema outlet, so the new entity will remain subject to significant competitive pressure from the Hema group and, to a lesser extent, from the Normal group.</w:t>
      </w:r>
    </w:p>
    <w:p>
      <w:r>
        <w:t>48. In a zone defined by a travel distance of 2 km, the new entity will face the presence of many other Hema outlets.</w:t>
      </w:r>
    </w:p>
    <w:p>
      <w:r>
        <w:rPr>
          <w:b/>
        </w:rPr>
        <w:t>[Pages 10–12]</w:t>
      </w:r>
    </w:p>
    <w:p>
      <w:r>
        <w:t xml:space="preserve">49. The Authority thus considers that any risk of harm to competition through horizontal effects in the local area of Paris 10 can be ruled out.  </w:t>
        <w:br/>
        <w:t xml:space="preserve">Zone of Paris 11  </w:t>
        <w:br/>
        <w:t xml:space="preserve">50. In the area of Paris 11, the market share of the new entity will rise to [80-90]% in a zone of 1.1 km and to [60-70]% in a zone of 2 km.  </w:t>
        <w:br/>
        <w:t xml:space="preserve">51. In the 1.1 km zone, the new entity will only face competition from one Conforama outlet.  </w:t>
        <w:br/>
        <w:t xml:space="preserve">52. In the 2 km zone, other competing brands are present: Casa, Hema, Søstrene Grene, and Maisons du Monde. However, the offering of Maisons du Monde in decoration and bazaar products is very limited, given the small size of its outlet. Furthermore, the Gifi outlet has a very large area, its size being three times that of its first competitor. The acquisition of Bricolex will significantly strengthen this position. Indeed, it turns out that, in addition, the Bricolex outlet in Paris 11, that of Paris 12 is also located in the area of Paris 11. This geographical proximity explains the significance of the increment in activity in the 2 km zone.  </w:t>
        <w:br/>
        <w:t xml:space="preserve">53. The operation is therefore likely to harm competition in the area of Paris 11. In any case, the notifying party has submitted commitments to prevent this type of risk, analyzed below.  </w:t>
        <w:br/>
        <w:t xml:space="preserve">Zone of Paris 12  </w:t>
        <w:br/>
        <w:t xml:space="preserve">54. In the area of Paris 12, the market share of the new entity will rise to [60-70]% in a zone of 1.1 km and to [50-60]% in a zone of 2 km.  </w:t>
        <w:br/>
        <w:t xml:space="preserve">55. In the 1.1 km zone, the operation results in the strengthening of the Gifi group, which already held a market share of over 50%.  </w:t>
        <w:br/>
        <w:t xml:space="preserve">56. In the 2 km zone, several competing brands are present, including Casa, Hema, Søstrene Grene, Conforama, and Maisons du Monde. However, the offering of Maisons du Monde in decoration and bazaar products is very limited, given the small size of its outlet. Furthermore, the Gifi outlet has a very large area, its size being three times that of its first competitor. The acquisition of Bricolex will significantly strengthen this position. Indeed, it turns out that, in addition, the Bricolex outlet in Paris 12, that of Paris 11 is also located in the area of Paris 12. This geographical proximity explains the significance of the increment in activity in the 2 km zone.  </w:t>
        <w:br/>
        <w:t xml:space="preserve">57. The operation is therefore likely to harm competition in the area of Paris 12. In any case, the notifying party has submitted commitments to prevent this type of risk, analyzed below.  </w:t>
        <w:br/>
        <w:t xml:space="preserve">Zone of Paris 14  </w:t>
        <w:br/>
        <w:t xml:space="preserve">58. In the area of Paris 14, the market share of the new entity will rise to [90-100]% in a zone of 1.1 km and to [50-60]% in a zone of 2 km. This area is characterized by the very close geographical proximity between the Gifi and Bricolex outlets, located less than 200 m from each other.  </w:t>
        <w:br/>
        <w:t xml:space="preserve">59. In the 1.1 km zone, the new entity will only face competition from one Hema outlet, with a limited area of 150 m², while the outlets of the acquirer and the target have respective areas of nearly 1,000 m² and about 450 m².  </w:t>
        <w:br/>
        <w:t xml:space="preserve">60. In the 2 km zone, the alternative offering to the new entity is minimal. It consists of two Hema outlets and the outlet of the discounter Normal, located at Montparnasse station, whose offering of bazaar and decoration products is very limited, given the small size of this outlet (approximately 100 m²).  </w:t>
        <w:br/>
        <w:t xml:space="preserve">61. The operation is therefore likely to harm competition in the area of Paris 14. In any case, the notifying party has submitted commitments to prevent this type of risk, analyzed below.  </w:t>
        <w:br/>
        <w:t xml:space="preserve">Zone of Paris 18  </w:t>
        <w:br/>
        <w:t xml:space="preserve">62. In the area of Paris 18, the market share of the new entity will rise to [90-100]% in a zone of 1.1 km and to [80-90]% in a zone of 2 km. This area is characterized by the very close geographical proximity between the Gifi and Bricolex outlets, located less than 400 m from each other.  </w:t>
        <w:br/>
        <w:t xml:space="preserve">63. This area is characterized by an extremely limited competitive offering where, with the exception of the Normal outlet on Boulevard Rochechouart, located about 1.5 km from the Bricolex outlet, no major national brand is present.  </w:t>
        <w:br/>
        <w:t xml:space="preserve">64. The operation is therefore likely to harm competition in the area of Paris 18. In any case, the notifying party has submitted commitments to prevent this type of risk, analyzed below.  </w:t>
        <w:br/>
        <w:t xml:space="preserve">Zone of Paris 19  </w:t>
        <w:br/>
        <w:t xml:space="preserve">65. In the area of Paris 19, the market share of the new entity will rise to [90-100]% in a zone of 1.1 km and to [90-100]% in a zone of 2 km.  </w:t>
        <w:br/>
        <w:t xml:space="preserve">66. Just like Paris 18, the area of Paris 19 is characterized by an extremely limited competitive offering.  </w:t>
        <w:br/>
        <w:t xml:space="preserve">67. In the 1.1 km zone, the new entity will only face competition from one independent outlet, which can be considered credible as it has a very large sales area of 500 m². This area allows for a relatively wide range of products in a commercial environment that meets standards closer to those of Gifi.  </w:t>
        <w:br/>
        <w:t xml:space="preserve">68. In the 2 km zone, a Hema outlet is also present alongside the aforementioned independent operator. However, its sales area is very limited (70 m²).  </w:t>
        <w:br/>
        <w:t xml:space="preserve">69. The operation is therefore likely to harm competition in the area of Paris 19. In any case, the notifying party has submitted commitments to prevent this type of risk, analyzed below.  </w:t>
        <w:br/>
        <w:t xml:space="preserve">70. In light of the above, the Authority cannot rule out that the operation is likely to harm competition through horizontal effects in the areas of Paris 11, Paris 12, Paris 14, Paris 18, and Paris 19. On the other hand, any risk of harm to competition through horizontal effects can be ruled out in the 13 suburban areas as well as in the areas of Paris 10, Paris 15, and Paris 16.  </w:t>
        <w:br/>
        <w:t xml:space="preserve">IV. The Commitments  </w:t>
        <w:br/>
        <w:t xml:space="preserve">71. In order to address serious doubts regarding the effects of the operation on competition in the downstream markets for the retail trade of bazaar and decoration products in the areas of Paris 11, Paris 12, Paris 14, Paris 18, and Paris 19, the notifying party submitted a proposal for commitments on February 23, 2023. This proposal was last modified on March 15, 2023. The text of these commitments, attached as an annex, forms an integral part of this decision.  </w:t>
        <w:br/>
        <w:t xml:space="preserve">A. THE PROPOSED COMMITMENTS  </w:t>
        <w:br/>
        <w:t xml:space="preserve">72. The proposed commitments consist of the divestiture of the assets or shares corresponding to the five Bricolex outlets in the areas of Paris 11, Paris 12, Paris 14, Paris 18, and Paris 19. These divestitures will occur within 9 months from the date on which Gifi will take exclusive control of the target, which will be completed no later than [in the first quarter of 2024]. These structural commitments aim to remedy the identified risks of harm to competition in the areas previously mentioned in points 50 and following.  </w:t>
        <w:br/>
        <w:t xml:space="preserve">73. In order to ensure the effectiveness of these divestiture commitments, Gifi undertakes, for a period of 10 years, not to acquire direct or indirect influence over all or part of the companies operating the divested assets, unless prior agreement from the Authority is obtained.  </w:t>
        <w:br/>
        <w:t xml:space="preserve">74. The areas and outlets concerned by the commitments are as follows:  </w:t>
        <w:br/>
        <w:t xml:space="preserve">B. ASSESSMENT OF THE PROPOSED COMMITMENTS  </w:t>
        <w:br/>
        <w:t xml:space="preserve">1. ON THE PRINCIPLES GUIDING THE ASSESSMENT OF THE PROPOSED COMMITMENTS  </w:t>
        <w:br/>
        <w:t>75. Regarding a horizontal concentration, the Authority primarily seeks structural corrective measures, which aim to ensure competitive market structures through</w:t>
      </w:r>
    </w:p>
    <w:p>
      <w:r>
        <w:rPr>
          <w:b/>
        </w:rPr>
        <w:t>[Pages 13–15]</w:t>
      </w:r>
    </w:p>
    <w:p>
      <w:r>
        <w:t>APPRAISAL OF THE PROPOSED COMMITMENTS</w:t>
        <w:br/>
        <w:t>1. ON THE PRINCIPLES GUIDING THE APPRAISAL OF THE PROPOSED COMMITMENTS</w:t>
        <w:br/>
        <w:t>75. In the case of a horizontal concentration, the Authority primarily seeks structural corrective measures, which aim to ensure competitive market structures through divestitures to an appropriate acquirer capable of exerting real competition, or the elimination of capital links between competitors15.</w:t>
        <w:br/>
        <w:t>76. The Authority ensures that the commitments meet several criteria:</w:t>
        <w:br/>
        <w:t>- they must be effective, meaning they must effectively remedy the identified competition concerns;</w:t>
        <w:br/>
        <w:t>- their implementation must not raise doubts, which implies that they should be drafted precisely, unambiguously, and that the operational modalities for their realization should be sufficiently detailed;</w:t>
        <w:br/>
        <w:t>- their implementation must be swift, as competition is not preserved until they are realized;</w:t>
        <w:br/>
        <w:t>- they must be controllable16.</w:t>
        <w:br/>
        <w:t>77. Furthermore, the effectiveness of the remedies depends on the divestiture of the concerned assets to one or more appropriate acquirers. To restore sufficient competitive conditions, the acquirer(s) must be capable of effectively competing with the new entity in the relevant markets.</w:t>
        <w:br/>
        <w:t>78. Finally, the acquisition of the concerned assets must not be likely to create new competition concerns in the relevant area by strengthening the position of an already established player.</w:t>
        <w:br/>
        <w:t>2. ON THE ADEQUACY OF THE PROPOSED COMMITMENTS</w:t>
        <w:br/>
        <w:t>79. In this case, the commitments proposed by the notifying party consist of the divestiture of the outlets in Paris 11, Paris 12, Paris 14, Paris 18, and Paris 19, that is to say, all the areas where the operation is likely to harm competition.</w:t>
        <w:br/>
        <w:t>80. The proposed commitments result in the complete elimination of activity overlaps in the downstream markets of retail trade in bazaar and decoration products, thereby removing any competition concerns in these areas.</w:t>
        <w:br/>
        <w:t>81. Moreover, since Bricolex is currently not active in the downstream markets for the distribution of bazaar and decoration products, the risks of harming the competitive situation arise solely from the strengthening of the Gifi group in these markets, without the disappearance of a competing brand of Gifi in the relevant catchment areas. To eliminate these risks, it is sufficient to remove this strengthening. Unlike the most common case, where the situation requires that the acquirer be active in the market primarily concerned by the operation, in this case, the retail distribution of bazaar and decoration products, this is not necessary here. Indeed, if the acquirer is active in another market, the acquisition of the Bricolex outlet and its possible change of use will still prevent the strengthening of the Gifi group and maintain the pre-existing competitive situation in the distribution of bazaar and decoration products. However, it should be ensured that this acquisition does not create competitive problems in the markets affected by this change of use. It can also be noted that if an acquirer is active in the markets for the distribution of bazaar and decoration products, the acquisition of a Bricolex outlet and its transformation into an outlet distributing bazaar and decoration products will allow for an increase in the supply of these products while also eliminating the strengthening of the Gifi group, thus also mitigating the competitive risks.</w:t>
        <w:br/>
        <w:t>82. Furthermore, the commitments provide that these divestitures must occur within a sufficiently rapid timeframe, with the notifying party committing to ensure that the divestitures take place within 9 months from the date on which exclusive control is acquired.</w:t>
        <w:br/>
        <w:t>83. Regarding the implementation of the commitments, the notifying party will propose to the Authority the appointment of a trustee, referred to as the "monitoring trustee," whose mission will be to ensure compliance with the obligations resulting from this decision.</w:t>
        <w:br/>
        <w:t>84. He must in particular ensure the preservation of the economic viability, market value, and competitiveness of the stores to be divested. He must also examine and evaluate potential acquirers as well as the progress of the commitments.</w:t>
        <w:br/>
        <w:t>85. Furthermore, if the notifying party does not find the necessary acquirer(s) within 6 months from the date on which exclusive control is acquired, a trustee, referred to as the "divestiture trustee," will be responsible for carrying out the necessary divestitures, provided that the Authority has approved the potential acquirer(s).</w:t>
        <w:br/>
        <w:t>86. In light of all these elements, the Competition Authority considers that the commitments proposed by the notifying party are sufficient to eliminate the risks of harming competition resulting from the operation.</w:t>
      </w:r>
    </w:p>
    <w:p>
      <w:r>
        <w:t>DECIDES</w:t>
        <w:br/>
        <w:t>Sole Article: The operation notified under number 22-200 is authorized subject to the commitments described in paragraphs 71 to 86 above and annexed to this decision.</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