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https://www.autoritedelaconcurrence.fr/fr/decision-de-controle-des-concentrations/relative-la-prise-de-controle-exclusif-de-la-societe-le-4</w:t>
      </w:r>
    </w:p>
    <w:p>
      <w:r>
        <w:t>Pages translated : 2</w:t>
      </w:r>
    </w:p>
    <w:p/>
    <w:p>
      <w:r>
        <w:rPr>
          <w:b/>
        </w:rPr>
        <w:t>[Pages 1–2]</w:t>
      </w:r>
    </w:p>
    <w:p>
      <w:r>
        <w:t xml:space="preserve">FRENCH REPUBLIC  </w:t>
        <w:br/>
        <w:t xml:space="preserve">Decision No. 26-DCC-142 of June 30, 2026  </w:t>
        <w:br/>
        <w:t xml:space="preserve">regarding the exclusive control acquisition of the company Le Froid by the  </w:t>
        <w:br/>
        <w:t xml:space="preserve">IPCOM group  </w:t>
        <w:br/>
        <w:t xml:space="preserve">The Competition Authority,  </w:t>
        <w:br/>
        <w:t xml:space="preserve">Having regard to the complete notification file submitted to the mergers department on June 1, 2026,  </w:t>
        <w:br/>
        <w:t xml:space="preserve">concerning the exclusive control acquisition of the company Le Froid by the IPCOM group, formalized  </w:t>
        <w:br/>
        <w:t xml:space="preserve">by a share purchase agreement dated May 27, 2026;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Le Froid by the IPCOM  </w:t>
        <w:br/>
        <w:t xml:space="preserve">group. The parties are active in the wholesale distribution of air conditioning, ventilation, refrigeration, and heating equipment and products. The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26-124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