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https://www.autoritedelaconcurrence.fr/fr/decision-de-controle-des-concentrations/relative-la-prise-de-controle-exclusif-de-la-societe-legal</w:t>
      </w:r>
    </w:p>
    <w:p>
      <w:r>
        <w:t>Pages translated : 5</w:t>
      </w:r>
    </w:p>
    <w:p/>
    <w:p>
      <w:r>
        <w:rPr>
          <w:b/>
        </w:rPr>
        <w:t>[Pages 1–3]</w:t>
      </w:r>
    </w:p>
    <w:p>
      <w:r>
        <w:t xml:space="preserve">FRENCH REPUBLIC  </w:t>
        <w:br/>
        <w:t xml:space="preserve">Decision No. 15-DCC-151 of November 23, 2015  </w:t>
        <w:br/>
        <w:t>regarding the exclusive control of the company Legal &amp; General Holdings SA France by the Apicil group</w:t>
      </w:r>
    </w:p>
    <w:p>
      <w:r>
        <w:t xml:space="preserve">The Competition Authority,  </w:t>
        <w:br/>
        <w:t xml:space="preserve">Having regard to the notification file submitted in full to the concentrations service on October 23, 2015, regarding the exclusive control of the company Legal &amp; General Holdings SA France by the Apicil group, formalized by a transfer protocol dated September 28, 2015;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Apicil Prévoyance is a provident institution governed by Title III of Book IX of the Social Security Code and is part of the Apicil social protection group. Apicil has a summit association that determines the political and strategic orientations of the group. The group consists of two complementary retirement institutions AGIRA Retraites des salariés (ARCCO) and AGIRA Retraites des cadres (AGIRC), a provident institution (Apicil Prévoyance) that controls an insurance company (Apicil Assurances), several brokerage firms active in various fields of complementary social protection, and mutual insurance companies. The Apicil group is active in the sectors of mandatory complementary retirement, personal insurance, as well as in the banking services sector, through Skandia Invest.  </w:t>
        <w:br/>
        <w:t xml:space="preserve">2. The company Legal &amp; General Holdings SA France (hereinafter "Legal &amp; General") is exclusively controlled by the British company Legal &amp; General Overseas Holdings Limited. It is active in the banking and insurance services sector. It notably offers a range of products dedicated to businesses, in terms of retirement, health and welfare, and employee savings.  </w:t>
        <w:br/>
        <w:t xml:space="preserve">3. Pursuant to the transfer protocol dated September 28, 2015, the operation involves the acquisition of the entire share capital and voting rights of the company Legal &amp; General by Apicil Prévoyance. As it results in the exclusive control of the company Legal &amp; General by Apicil Prévoyance, the operation constitutes a concentration within the meaning of Article L. 430-1 of the Commercial Code.  </w:t>
        <w:br/>
        <w:t>4. The companies concerned have together achieved a consolidated worldwide turnover excluding taxes of more than 150 million euros (Apicil: 1.6 billion euros for the fiscal year ending December 31, 2014; Legal &amp; General: 537.3 million euros for the same fiscal year). Each of these companies has achieved, in France, a turnover exceeding 50 million euros (Apicil Prévoyance: 1.6 billion euros for the fiscal year ending December 31, 2014; Legal &amp; General: 537.3 million euros for the same fiscal year). Given the turnover figures of the companies concerned, it does not have a community dimension. On the other hand, the control thresholds mentioned in Article L. 430-2-I of the Commercial Code are exceeded. The present operation is therefore subject to the provisions of Articles L. 430-3 and following of the Commercial Code.</w:t>
      </w:r>
    </w:p>
    <w:p>
      <w:r>
        <w:t xml:space="preserve">II. Delimitation of the relevant markets  </w:t>
        <w:br/>
        <w:t>5. The parties are simultaneously active in the insurance sector and the banking sector. Their combined position in the banking services markets remains, however, below 1%, regardless of the segment considered. It can therefore already be concluded that the operation is not likely to harm competition in these markets, which will consequently not be subject to a more detailed analysis within the framework of this decision.</w:t>
      </w:r>
    </w:p>
    <w:p>
      <w:r>
        <w:t xml:space="preserve">A. THE INSURANCE SECTOR  </w:t>
        <w:br/>
        <w:t xml:space="preserve">6. The parties are simultaneously active in the upstream markets of personal insurance products. Apicil Prévoyance is also present in the downstream markets for the distribution of insurance on behalf of third parties. These markets will therefore also be analyzed in terms of vertical effects.  </w:t>
        <w:br/>
        <w:t xml:space="preserve">1. THE UPSTREAM MARKETS OF INSURANCE PRODUCTS  </w:t>
        <w:br/>
        <w:t xml:space="preserve">7. Within the insurance sector, decisional practice consistently distinguishes between personal insurance and property insurance (goods and liabilities), each of which can in turn be segmented into as many markets as there are insurances covering different types of risks or types of contracts, insofar as, from the demand perspective, these insurances or contracts differ and are not substitutable.  </w:t>
        <w:br/>
        <w:t xml:space="preserve">8. Regarding the personal insurance market, decisional practice has notably identified within this sector the savings and life insurance market, which includes all financial products offered within the framework of optional capital or annuity insurances, and life insurance products. Further segmentation can also be made between group insurance contracts, concluded between an insurer and a subscriber distinct from the beneficiary, and individual insurance contracts for which the subscriber is also the beneficiary.  </w:t>
        <w:br/>
        <w:t xml:space="preserve">9. In this case, the parties to the operation are simultaneously active in personal insurance, and in particular, in the following segments:  </w:t>
        <w:br/>
        <w:t xml:space="preserve">- the individual life insurance market;  </w:t>
        <w:br/>
        <w:t xml:space="preserve">- the markets for collective and individual welfare that include insurance products intended to cover beneficiaries against an unpredictable loss of income (in the event of death, disability, or incapacity) through a payment in the form of a capital sum or an annuity;  </w:t>
        <w:br/>
        <w:t xml:space="preserve">- the market for collective complementary health insurance which aims to supplement the benefits offered by mandatory health insurance schemes. The risk covered corresponds to the costs not covered by social security that must be incurred for medical treatment. Complementary reimbursements depend on the benefits of the legal social security scheme.  </w:t>
        <w:br/>
        <w:t>10. Regarding their geographical delimitations, with the exception of certain insurances covering large-scale risks, decisional practice considers that insurance markets are of national dimension given consumer preferences, the existence of national legislation and tax constraints, the current structure of these markets, or the regulatory systems concerning this sector of activity.</w:t>
      </w:r>
    </w:p>
    <w:p>
      <w:r>
        <w:t xml:space="preserve">2. THE DOWNSTREAM MARKETS FOR THE DISTRIBUTION OF INSURANCE PRODUCTS ON BEHALF OF THIRD PARTIES  </w:t>
        <w:br/>
        <w:t>11. The distribution of insurance products consists of marketing and ensuring the administrative management of guarantees or insurance contracts whose risk is borne by third-party insurers. Competition authorities, both European and national, have left open the possibility of further analysis of these markets.</w:t>
      </w:r>
    </w:p>
    <w:p>
      <w:r>
        <w:rPr>
          <w:b/>
        </w:rPr>
        <w:t>[Pages 4–5]</w:t>
      </w:r>
    </w:p>
    <w:p>
      <w:r>
        <w:t>question of the precise delimitation of markets in this sector, with several segmentations being considered9.</w:t>
      </w:r>
    </w:p>
    <w:p>
      <w:r>
        <w:t>12. The decisional practice10 has thus considered a broad market for the distribution of insurance products by independent intermediaries, including all distribution channels: agents, brokers, and other intermediaries (including banks), with the exception of direct distribution by insurance companies. The practice has also considered a narrower market of insurance brokerage, comprising this sole distribution channel.</w:t>
      </w:r>
    </w:p>
    <w:p>
      <w:r>
        <w:t>13. The markets for the distribution of insurance products can also be segmented according to the category of risks insured (property insurance and personal insurance) and according to the clientele (businesses or individuals).</w:t>
      </w:r>
    </w:p>
    <w:p>
      <w:r>
        <w:t>14. In this case, only Apicil Prévoyance is active in the distribution of insurance products, through the insurance brokerage firms Profinance, Courtage &amp; Systèmes, and Apicil Preci. These firms distribute either life insurance products directly insured by entities of the Apicil group, or collective and individual welfare and employee savings products from other companies that are mostly closed to sales today.</w:t>
      </w:r>
    </w:p>
    <w:p>
      <w:r>
        <w:t>15. Regarding their geographical delimitations, the markets for the distribution of insurance products on behalf of third parties have been considered essentially as being of national dimension.</w:t>
      </w:r>
    </w:p>
    <w:p>
      <w:r>
        <w:t>16. The question of the exact delimitation of the markets for the distribution of insurance products can, however, be left open insofar as, regardless of the delimitation retained, the conclusions of the competitive analysis will remain unchanged.</w:t>
      </w:r>
    </w:p>
    <w:p>
      <w:r>
        <w:t xml:space="preserve">III. Competitive Analysis  </w:t>
        <w:br/>
        <w:t xml:space="preserve">A. ANALYSIS OF HORIZONTAL EFFECTS  </w:t>
        <w:br/>
        <w:t>1. ON THE INSURANCE MARKETS</w:t>
      </w:r>
    </w:p>
    <w:p>
      <w:r>
        <w:t>17. In the insurance sector, the parties are simultaneously present in the upstream market of personal insurance products in the segments of individual life insurance, individual and collective welfare, and collective complementary health insurance.</w:t>
      </w:r>
    </w:p>
    <w:p>
      <w:r>
        <w:t>18. Across all the segmentations considered by the practice for which the transaction entails an overlap, the notifying party estimates that the market share of the new entity will be below [0-5]%. Furthermore, Apicil will remain subject to competition from numerous operators including CNP, Crédit Agricole Assurances, and BNP Paribas Cardif in life insurance, as well as from Union Harmonie Mutuelles, Groupe Istya, and Axa France in health insurance and welfare.</w:t>
      </w:r>
    </w:p>
    <w:p>
      <w:r>
        <w:t xml:space="preserve">9 See notably the letter from the minister C2008-77 dated October 28, 2008, and the decision of the Competition Authority n°13-DCC-126 dated September 5, 2013, regarding the acquisition of the company Sofaxis by the mutual insurance company Sham.  </w:t>
        <w:br/>
        <w:t>10 See notably the decision n° 12-DCC-111 referenced above.</w:t>
      </w:r>
    </w:p>
    <w:p>
      <w:r>
        <w:t>19. Consequently, the present transaction is not likely to harm competition through horizontal effects in the insurance sector.</w:t>
      </w:r>
    </w:p>
    <w:p>
      <w:r>
        <w:t>B. ANALYSIS OF NON-HORIZONTAL EFFECTS</w:t>
      </w:r>
    </w:p>
    <w:p>
      <w:r>
        <w:t>20.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A concentration is also likely to lead to conglomerate effects when the new entity extends or strengthens its presence in markets that are connected to other markets where it holds market power.</w:t>
      </w:r>
    </w:p>
    <w:p>
      <w:r>
        <w:t>21. However, decisional practice generally considers that a risk of vertical or conglomerate effect can be ruled out as long as the market share of the entity resulting from the transaction in the relevant markets does not exceed 30%.</w:t>
      </w:r>
    </w:p>
    <w:p>
      <w:r>
        <w:t>22. In this case, the transaction allows the Apicil group, present in the downstream markets for the distribution of insurance on behalf of third parties, to strengthen its position in the upstream markets for personal insurance products. However, across all these markets, the market share of the combined entity will remain below 5%.</w:t>
      </w:r>
    </w:p>
    <w:p>
      <w:r>
        <w:t>23. Consequently, the transaction is not likely to harm competition through vertical or conglomerate effects.</w:t>
      </w:r>
    </w:p>
    <w:p>
      <w:r>
        <w:t xml:space="preserve">DECIDES  </w:t>
        <w:br/>
        <w:t xml:space="preserve">Single Article: The transaction notified under number 15-165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