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https://www.autoritedelaconcurrence.fr/fr/decision-de-controle-des-concentrations/relative-la-prise-de-controle-exclusif-de-la-societe-lely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26-DCC-26 of January 21, 2026  </w:t>
        <w:br/>
        <w:t xml:space="preserve">regarding the exclusive control acquisition of the company  </w:t>
        <w:br/>
        <w:t xml:space="preserve">Lely Environnement by the Paprec group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14, 2025, concerning the exclusive control acquisition of the company Lely Environnement by  </w:t>
        <w:br/>
        <w:t xml:space="preserve">the company Paprec France, formalized by a purchase promise dated November 7,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indirect acquisition by the company Paprec France of all  </w:t>
        <w:br/>
        <w:t xml:space="preserve">the shares and voting rights of the company Lely Environnement and of the SCI Invest 22 which  </w:t>
        <w:br/>
        <w:t xml:space="preserve">holds the bare ownership of a real estate complex located in Voreppe (38). The relevant sector  </w:t>
        <w:br/>
        <w:t xml:space="preserve">is that of the collection, sorting, disposal, and recovery of waste. The operation  </w:t>
        <w:br/>
        <w:t xml:space="preserve">constitutes a concentration within the meaning of Article L. 430-1 of the Commercial Code. Given  </w:t>
        <w:br/>
        <w:t xml:space="preserve">the turnover achieved by the concerned companies, the operation does not fall under the  </w:t>
        <w:br/>
        <w:t xml:space="preserve">competence of the European Union. On the other hand, the control thresholds mentioned in I of  </w:t>
        <w:br/>
        <w:t xml:space="preserve">Article L. 430-2 of the Commercial Code are exceeded. The present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25-326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