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https://www.autoritedelaconcurrence.fr/fr/decision-de-controle-des-concentrations/relative-la-prise-de-controle-exclusif-de-la-societe-leroux</w:t>
      </w:r>
    </w:p>
    <w:p>
      <w:r>
        <w:t>Pages translated : 2</w:t>
      </w:r>
    </w:p>
    <w:p/>
    <w:p>
      <w:r>
        <w:rPr>
          <w:b/>
        </w:rPr>
        <w:t>[Pages 1–2]</w:t>
      </w:r>
    </w:p>
    <w:p>
      <w:r>
        <w:t xml:space="preserve">FRENCH REPUBLIC  </w:t>
        <w:br/>
        <w:t xml:space="preserve">Decision No. 19-DCC-243 of December 17, 2019  </w:t>
        <w:br/>
        <w:t xml:space="preserve">regarding the exclusive control acquisition of the company Leroux Automobiles  </w:t>
        <w:br/>
        <w:t xml:space="preserve">by the Jallu-Berthier group  </w:t>
        <w:br/>
        <w:t xml:space="preserve">The Competition Authority,  </w:t>
        <w:br/>
        <w:t xml:space="preserve">Having regard to the complete notification file sent to the mergers department on  </w:t>
        <w:br/>
        <w:t xml:space="preserve">November 27, 2019, concerning the exclusive control acquisition of the company Leroux Automobiles by  </w:t>
        <w:br/>
        <w:t xml:space="preserve">the Jallu-Berthier group and formalized by a memorandum of understanding dated November 4, 2019.  </w:t>
        <w:br/>
        <w:t xml:space="preserve">Having regard to Book IV of the Commercial Code relating to the freedom of prices and competition, and  </w:t>
        <w:br/>
        <w:t xml:space="preserve">notably its Articles L. 430-1 to L. 430-7;  </w:t>
        <w:br/>
        <w:t xml:space="preserve">Having regard to the elements submitted during the investigation by the notifying party;  </w:t>
        <w:br/>
        <w:t xml:space="preserve">Adopts the following decision:  </w:t>
        <w:br/>
        <w:t xml:space="preserve">1. The notified operation consists of the exclusive control acquisition by the company Cape Finances  </w:t>
        <w:br/>
        <w:t xml:space="preserve">Automobiles, the parent company of the Jallu-Berthier group, of the company Leroux Automobiles,  </w:t>
        <w:br/>
        <w:t xml:space="preserve">which operates two car dealerships under the Ford brand in the department of Somme (80).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19-298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