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https://www.autoritedelaconcurrence.fr/fr/decision-de-controle-des-concentrations/relative-la-prise-de-controle-exclusif-de-la-societe-lfp</w:t>
      </w:r>
    </w:p>
    <w:p>
      <w:r>
        <w:t>Pages translated : 5</w:t>
      </w:r>
    </w:p>
    <w:p/>
    <w:p>
      <w:r>
        <w:rPr>
          <w:b/>
        </w:rPr>
        <w:t>[Pages 1–3]</w:t>
      </w:r>
    </w:p>
    <w:p>
      <w:r>
        <w:t xml:space="preserve">FRENCH REPUBLIC  </w:t>
        <w:br/>
        <w:t xml:space="preserve">Decision No. 15-DCC-174 of December 15, 2015  </w:t>
        <w:br/>
        <w:t>regarding the exclusive control of LFP Nexity Services Immobiliers by the Nexity Group</w:t>
      </w:r>
    </w:p>
    <w:p>
      <w:r>
        <w:t xml:space="preserve">The Competition Authority,  </w:t>
        <w:br/>
        <w:t xml:space="preserve">Having regard to the notification file submitted in full to the concentrations service on November 12, 2015, regarding the exclusive control of LFP Nexity Services Immobiliers by the Nexity Group, formalized by a memorandum of understanding dated July 31, 2015;  </w:t>
        <w:br/>
        <w:t xml:space="preserve">Having regard to Book IV of the Commercial Code relating to the freedom of prices and competition, and in particular its Articles L. 430-1 to L. 430-10;  </w:t>
        <w:br/>
        <w:t>Adopts the following decision:</w:t>
      </w:r>
    </w:p>
    <w:p>
      <w:r>
        <w:t xml:space="preserve">I. The concerned companies and the operation  </w:t>
        <w:br/>
        <w:t xml:space="preserve">1. Nexity SA (hereinafter "Nexity") is the company at the head of the Nexity group active in the sectors of real estate development and services in France and Europe. The Nexity group is notably active in the real estate services sector for individuals and professionals (rental management, property management, management of student residences, management of purchase/sale and rental transactions, consulting and property management, and brokerage in real estate insurance) through its subsidiaries and the franchise networks Century 21 France and Guy Hoquet L’immobilier.  </w:t>
        <w:br/>
        <w:t xml:space="preserve">2. Until June 2014, Nexity SA was controlled by the Banque Populaire Caisse d’Épargne group (hereinafter "BPCE"). Through two share transfer operations in May and October 2015, BPCE divested from Nexity SA to hold only 12.8% of the capital and voting rights, and thus no longer exerts decisive influence over Nexity. Furthermore, the distribution of capital in Nexity SA shows that no other shareholder has decisive influence over the Nexity group in terms of concentration control.  </w:t>
        <w:br/>
        <w:t>* Correction of material error.</w:t>
      </w:r>
    </w:p>
    <w:p>
      <w:r>
        <w:t xml:space="preserve">3. LFP Nexity Services Immobiliers (hereinafter "LFP NSI") is a company jointly controlled by Nexity and the company Groupe La Française (via UFG Property Managers) which hold respectively 75.4% and 24.6% of its capital. LFP NSI directly controls the companies Nexity Property Management and Nexity Conseil et Transaction, which encompass the activities of rental and technical management of buildings, on the one hand, and real estate transaction activities, on the other hand.  </w:t>
        <w:br/>
        <w:t xml:space="preserve">4. According to the terms of a memorandum of understanding concluded on July 31, 2015, between Nexity and UFG Property Managers, Nexity will acquire all the shares held by UFG Property Managers in the capital of LFP NSI and will therefore hold, following the transaction, 100% of the capital of the latter and its subsidiaries.  </w:t>
        <w:br/>
        <w:t xml:space="preserve">5. In that it results in the transition from joint control to exclusive control of LFP NSI by Nexity, the notified operation constitutes a concentration within the meaning of Article L. 430-1 of the Commercial Code.  </w:t>
        <w:br/>
        <w:t>6. The concerned companies achieved a consolidated worldwide turnover excluding taxes of more than 150 million euros in the last closed financial year (Nexity: 2.3 billion euros for the 2014 financial year; LFP NSI: 72.1 million euros for the same financial year). Each of these companies achieved, in France, a turnover exceeding 50 million euros (Nexity: 2.23 billion euros for the 2014 financial year; LFP NSI: 72.1 million euros for the same financial year). Given these turnover figures, the operation does not have a European dimension. This operation remains subject to the provisions of Articles L. 430-3 and following of the Commercial Code relating to economic concentration.</w:t>
      </w:r>
    </w:p>
    <w:p>
      <w:r>
        <w:t xml:space="preserve">II. Definition of relevant markets  </w:t>
        <w:br/>
        <w:t xml:space="preserve">A. PRODUCT AND SERVICE MARKETS  </w:t>
        <w:br/>
        <w:t xml:space="preserve">7. National and European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1 See the Authority's decision No. 11-DCC-207 of December 22, 2011, regarding the creation of a fully operational joint venture by Nexity and UFG-LFP.  </w:t>
        <w:br/>
        <w:t xml:space="preserve">2 In this case, the turnover figures were calculated in accordance with point 98 of the guidelines of the Competition Authority.  </w:t>
        <w:br/>
        <w:t xml:space="preserve">3 See in particular the Authority's decisions No. 14-DCC-46 of April 1, 2014, regarding the joint control of an industrial real estate asset in Moselle by Norges Bank and Prologis, No. 09-DCC-16 of June 22, 2009, regarding the merger between the Caisse d’Épargne and Banque Populaire groups, as well as decision C2008-79 / Letter from the Minister of Economy, Industry and Employment dated August 22, 2008, to the boards of the CDC and Eurosic companies, regarding a concentration in the real estate sector, BOCCRF No. 8 bis of October 23, 2008.  </w:t>
        <w:br/>
        <w:t xml:space="preserve">4 See the decisions of the European Commission COMP/M.2110 Deutsche Bank / SEI / JV of September 25, 2000, IV/M.2825 Fortis AG SA / Bernheim-Comofi SA of July 9, 2002, and COMP/M.3370 BNP Paribas/ARI of March 9, 2004.  </w:t>
        <w:br/>
        <w:t>5 See the Authority's decisions No. 12-DCC-156 of November 12, 2012, regarding the joint control of a real estate civil company for the acquisition of an office building by CNP Assurance and Sogecap, and No. 12-DCC-157 of November 15, 2012, regarding the joint control of a real estate civil company for the holding of an office building located in Lyon by the companies Prédica and Caisse des Dépôts et Consignations.</w:t>
      </w:r>
    </w:p>
    <w:p>
      <w:r>
        <w:t xml:space="preserve">8. Regarding segmentation according to the nature of services or goods offered, the decisional practice has considered distinguishing: i) real estate development, which includes construction and sale activities of real estate properties; ii) real estate asset management for own account; iii) real estate asset management for third-party account; iv) real estate administration, which covers property management activities on behalf of owners and can be segmented between rental management and co-ownership management; v) real estate appraisal; vi) real estate consulting; and vii) intermediation in real estate transactions, for which intermediation in purchase/sale operations is distinct from intermediation in rental operations.  </w:t>
        <w:br/>
        <w:t xml:space="preserve">9. In this case, the target is present in the markets of intermediation in purchase/sale transactions of professional use buildings, intermediation in rental transactions of professional use buildings, and rental and technical management of professional use buildings (offices, shops, warehouses). Nexity, for its part, is present in the real estate development market, which has a vertical link with the markets in which LFP NSI operates.  </w:t>
        <w:br/>
        <w:t>10. There is no need to challenge these segmentations in the present decision.</w:t>
      </w:r>
    </w:p>
    <w:p>
      <w:r>
        <w:t xml:space="preserve">B. GEOGRAPHICAL MARKETS  </w:t>
        <w:br/>
        <w:t xml:space="preserve">11. The decisional practice has considered that most real estate services markets are of infranational dimension, while leaving the question open. It has also considered a national delimitation for the markets of real estate services intended for businesses when investment operations are carried out by large investors.  </w:t>
        <w:br/>
        <w:t xml:space="preserve">12. For the Île-de-France region in which the target company is present, the decisional practice noted that "the Paris region has particular properties of continuity of urban areas. Indeed, there is a vast, highly urbanized, and homogeneous area covering most of Île-de-France, served by a global transport network; residents are always able to arbitrate between different parts of the region. This substitutability leads to a convergence at the price level. Therefore, the regional level is the most appropriate for competitive analysis."  </w:t>
        <w:br/>
        <w:t xml:space="preserve">13. The question of the exact delimitation of the relevant markets can, however, be left open as the conclusions of the competitive analysis remain unchanged regardless of the delimitations retained.  </w:t>
        <w:br/>
        <w:t xml:space="preserve">6 See decision C2007-166 / Letter from the Minister of Economy, Finance and Employment dated December 20, 2007, to the advisors of the Nexity group, regarding a concentration in the real estate development sector.  </w:t>
        <w:br/>
        <w:t xml:space="preserve">7 See the Authority's decisions No. 15-DCC-56 of May 20, 2015, regarding the joint control of a real estate complex in Ollioules by the BPCE group and Caisse des Dépôts et Consignations, and No. 14-DCC-183 of December 12, 2014, regarding the joint control of the companies Val Commerces and Winter by Eurocommercial Properties France and Agipimmo.  </w:t>
        <w:br/>
        <w:t xml:space="preserve">8 See in particular the Authority's decisions No. 10-DCC-13 of January 29, 2010, regarding the exclusive control by Icade SA of Compagnie la Lucette SA, and No. 09-DCC-16 of June 22, 2009, regarding the merger between the Caisse d’Épargne and Banque Populaire groups; see the letter from the Minister of Economy, Finance, and Industry dated November 25, 2005, to the advisors of Foncière des régions, regarding a concentration in the real estate sector. See also the decisions of the European Commission COMP/M.3370 - BNP Paribas / ARI of March 9, 2004 and COMP/M.2825 of July 9, 2002, Fortis AG SA / Bernheim-Comofi SA.  </w:t>
        <w:br/>
        <w:t xml:space="preserve">9 See in particular the Authority's decisions No. 09-DCC-16 mentioned above and No. 10-DCC-112 of September 17, 2010, regarding the joint control by Prédica and Altaréa of the company Alta Marigny Carré des Soies.  </w:t>
        <w:br/>
        <w:t>10 See the Authority's decisions No. 15-DCC-57 of May 27, 2015, regarding the joint control of the real estate civil company Julie by CNP Assurances and Malakoff Médéric, No. 14-DCC-67 of May 19, 2014, regarding the exclusive control of the Société de la Tour Eiffel by the Mutuelle du Bâtiment et des Travaux Publics, and No. 14-DCC-103 of July 10, 2014, regarding the exclusive control of SIIC de Paris by Eurosic.</w:t>
      </w:r>
    </w:p>
    <w:p>
      <w:r>
        <w:rPr>
          <w:b/>
        </w:rPr>
        <w:t>[Pages 4–5]</w:t>
      </w:r>
    </w:p>
    <w:p>
      <w:r>
        <w:t>III. Competitive Analysis</w:t>
      </w:r>
    </w:p>
    <w:p>
      <w:r>
        <w:t>14. The current transaction results in the transition from joint control to exclusive control of LFP NSI by the Nexity group. In previous cases, competition authorities, both national and European, have emphasized that this change in the nature of control is generally not, in itself, likely to significantly alter the conditions of competition exercise, except in more complex cases involving parties in a competitive situation prior to the concentration. Indeed, in this context, the fact that a company remains solely able to exert a decisive influence on the target, without having to accommodate the potentially different interests of other partners and cooperate with them, may be likely to modify its incentives and produce effects on the competitive structure of the market.</w:t>
      </w:r>
    </w:p>
    <w:p>
      <w:r>
        <w:t>15. In this case, Nexity is present in the markets of intermediation in purchase/sale transactions of commercial real estate, intermediation in rental transactions of commercial real estate, and finally, rental and technical management of properties intended for professionals, through the jointly controlled target. The market shares estimated by the notifying party in each of the markets in which LFP NSI is active, regardless of the delimitations retained, will remain below [10-20]%. Therefore, the transaction is not likely to harm competition in these markets.</w:t>
      </w:r>
    </w:p>
    <w:p>
      <w:r>
        <w:t>16. Nexity is also present in the market for real estate development aimed at professionals (development of office buildings, high-rise buildings, business parks, logistics platforms, retail, and hotels), which is upstream of the markets for intermediation in real estate transactions. However, Nexity's position in this market is particularly weak (approximately [0-5]%). The transaction is therefore not likely to harm competition through vertical effects.</w:t>
      </w:r>
    </w:p>
    <w:p>
      <w:r>
        <w:t>17. In light of the above, the transaction is not likely to harm competition.</w:t>
      </w:r>
    </w:p>
    <w:p>
      <w:r>
        <w:t>DECIDES</w:t>
      </w:r>
    </w:p>
    <w:p>
      <w:r>
        <w:t>Sole Article: The transaction notified under number 15-188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