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https://www.autoritedelaconcurrence.fr/fr/decision-de-controle-des-concentrations/relative-la-prise-de-controle-exclusif-de-la-societe-ligier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21-DCC-19 of February 8, 2021  </w:t>
        <w:br/>
        <w:t xml:space="preserve">regarding the exclusive control acquisition of the company Ligier Développement by the company Edify  </w:t>
        <w:br/>
        <w:t xml:space="preserve">The Competition Authority,  </w:t>
        <w:br/>
        <w:t xml:space="preserve">Having regard to the complete notification file sent to the mergers department on January 20, 2021,  </w:t>
        <w:br/>
        <w:t xml:space="preserve">concerning the acquisition of control of the company Ligier Développement by the company Edify, formalized  </w:t>
        <w:br/>
        <w:t xml:space="preserve">by a unilateral promise to purchase 100% of the shares of Ligier Développement dated December 21,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Edify of the company  </w:t>
        <w:br/>
        <w:t xml:space="preserve">Ligier Développement, which is active in the market for the manufacture and sale of light vehicles without a license as well as in the supply of spare parts. It constitutes a concentration operation within the meaning of Article L. 430-1 of the Commercial Code.  </w:t>
        <w:br/>
        <w:t xml:space="preserve">Given the turnover achieved by the companies concerned, the operation does not fall under the jurisdiction of the European Union. On the other hand, the control thresholds mentioned in point 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21-005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