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https://www.autoritedelaconcurrence.fr/fr/decision-de-controle-des-concentrations/relative-la-prise-de-controle-exclusif-de-la-societe-link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24-DCC-108 of May 29, 2024</w:t>
        <w:br/>
        <w:t>regarding the exclusive control acquisition of Link Group by</w:t>
        <w:br/>
        <w:t>Interaction</w:t>
        <w:br/>
        <w:t>The Competition Authority,</w:t>
        <w:br/>
        <w:t>Having regard to the complete notification file sent to the mergers department on May 13, 2024,</w:t>
        <w:br/>
        <w:t>concerning the exclusive control acquisition by Interaction of Link Group,</w:t>
        <w:br/>
        <w:t>formalized by a conditional sale agreement dated April 22, 2024;</w:t>
        <w:br/>
        <w:t>Having regard to Book IV of the Commercial Code relating to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Interaction of</w:t>
        <w:br/>
        <w:t>Link Group, active in the temporary employment sector, permanent recruitment, human resources consulting services, and continuing education. It constitutes a concentration operation within the meaning of Article L. 430-1 of the Commercial Code. Given the turnover generated by the companies involved, the operation does not fall under the jurisdiction of the European Union. However, the relevant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24-056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