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https://www.autoritedelaconcurrence.fr/fr/decision-de-controle-des-concentrations/relative-la-prise-de-controle-exclusif-de-la-societe-liuf</w:t>
      </w:r>
    </w:p>
    <w:p>
      <w:r>
        <w:t>Pages translated : 6</w:t>
      </w:r>
    </w:p>
    <w:p/>
    <w:p>
      <w:r>
        <w:rPr>
          <w:b/>
        </w:rPr>
        <w:t>[Pages 1–3]</w:t>
      </w:r>
    </w:p>
    <w:p>
      <w:r>
        <w:t xml:space="preserve">FRENCH REPUBLIC  </w:t>
        <w:br/>
        <w:t xml:space="preserve">Decision No. 16-DCC-96 of June 29, 2016  </w:t>
        <w:br/>
        <w:t xml:space="preserve">regarding the exclusive control of the company LIUF by the company  </w:t>
        <w:br/>
        <w:t xml:space="preserve">Apax Partners MidMarket  </w:t>
        <w:br/>
        <w:t xml:space="preserve">The Competition Authority,  </w:t>
        <w:br/>
        <w:t xml:space="preserve">Having regard to the notification file submitted in full to the merger service on June 3, 2016,  </w:t>
        <w:br/>
        <w:t xml:space="preserve">regarding the acquisition of exclusive control of the company LIUF by the company Apax Partners  </w:t>
        <w:br/>
        <w:t xml:space="preserve">MidMarket, formalized by a share acquisition agreement dated April 15, 2016;  </w:t>
        <w:br/>
        <w:t xml:space="preserve">Having regard to Book IV of the Commercial Code relating to the freedom of prices and competition, and  </w:t>
        <w:br/>
        <w:t xml:space="preserve">notably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Apax Partners MidMarket SAS (hereinafter, "APMM") is a private equity company. Through the investment funds it manages, APMM controls companies active in the sectors of education, telecommunications, software solutions for call centers, snack products, fire safety, and insurance expertise. In the field of education, APMM controls the INSEEC group, whose activities focus on higher education and vocational training, in the areas of business/management and communication. The INSEEC group includes the following schools: INSEEC Grande Ecole, ECE, MSC &amp; MBA, INSEEC Wine &amp; Spirits Institute, CEFAS/CESNI, INSEEC Bachelor, Sup de Pub, Sup Career, INSEEC Luxury Institute, INSEEC Executive Education, SFEAS, IUM, and Créa Genève.  </w:t>
        <w:br/>
        <w:t xml:space="preserve">2. The company LIUF SASU (hereinafter, "LIUF") is the holding company of a group of private higher education and vocational training. The LIUF group comprises five schools in the fields of business and management, engineering schools, and political sciences: ESCE, EBS, ECE, IFG, and HEIP.  </w:t>
        <w:br/>
        <w:t>3. The operation, formalized by a share acquisition agreement dated April 15, 2016, consists of the acquisition by the funds Apax France VIII-A and Apax France VIII-B, managed by APMM, of all the shares and voting rights of LIUF.</w:t>
      </w:r>
    </w:p>
    <w:p>
      <w:r>
        <w:t xml:space="preserve">4. As it results in the exclusive control of LIUF by APMM, the notified operation constitutes a concentration within the meaning of Article L. 430-1 of the Commercial Code.  </w:t>
        <w:br/>
        <w:t xml:space="preserve">5. The companies concerned together achieve a total worldwide turnover excluding taxes of more than 150 million euros (APMM: [...] euros for the fiscal year ending December 31, 2015; LIUF: [...] euros for the same fiscal year). Each of these companies has achieved a turnover in France exceeding 50 million euros (APMM: [...] euros for the fiscal year ending December 31, 2015; LIUF: [...] euros for the same fiscal year). Given these turnovers,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the relevant markets  </w:t>
        <w:br/>
        <w:t xml:space="preserve">6. The parties are simultaneously active in the field of higher education, in the markets for initial training (A) and continuing vocational training (B).  </w:t>
        <w:br/>
        <w:t xml:space="preserve">A. THE MARKETS FOR INITIAL TRAINING  </w:t>
        <w:br/>
        <w:t xml:space="preserve">1. MARKET FOR SERVICES  </w:t>
        <w:br/>
        <w:t xml:space="preserve">7. The decision-making practice of the Authority has considered four distinct segmentations: (i) according to the nature of the training cycle, between full-time training and alternating training, (ii) according to the field of training, (iii) according to the duration of the study cycle, and (iv) according to the status of the institution, between public education and private education.  </w:t>
        <w:br/>
        <w:t xml:space="preserve">a) Segmentation according to the nature of the training cycle  </w:t>
        <w:br/>
        <w:t xml:space="preserve">8. The Authority has made a distinction between full-time initial training and alternating training, which combines periods in companies and in training organizations.  </w:t>
        <w:br/>
        <w:t xml:space="preserve">9. The decision-making practice has emphasized that secondary school students opting for alternating training primarily seek paid training. The alternating student indeed has the status of an employee and views alternating training as a means of obtaining funding for their studies. The demand for full-time training is of a different nature: the student defers their entry into the labor market and makes a long-term investment.  </w:t>
        <w:br/>
        <w:t xml:space="preserve">10. The Authority has also noted the differences in positioning of training organizations. Providers of initial training do not always offer an alternating training option. The offer of alternating and full-time training also implies a different organization (separate classes, pedagogical adjustments, designation of a tutor or apprenticeship master for alternating students, etc.).  </w:t>
        <w:br/>
        <w:t xml:space="preserve">b) Segmentation according to the field of training  </w:t>
        <w:br/>
        <w:t>1 See the Authority's decision No. 10-DCC-79 of July 22, 2010, regarding the exclusive control of the companies La Compagnie de Formation Chezy (CFC) and Forteam by Duke Street Holdings Ltd.</w:t>
      </w:r>
    </w:p>
    <w:p>
      <w:r>
        <w:t xml:space="preserve">11. The Authority has segmented according to training sectors. From the demand perspective, choosing a specialty leads the applicant to consider only the schools and universities offering training in that field. Moreover, the structure of the supply differs by domain. Some fields, such as literary subjects, preparation for teaching and research professions, are the preserve of public universities and are not offered by private training institutes for historical reasons or professional opportunities. Conversely, in certain specialties, the public sector's supply appears structurally insufficient or even non-existent (preparatory classes for osteopathy studies, physiotherapy, art or journalism schools, etc.).  </w:t>
        <w:br/>
        <w:t xml:space="preserve">12. Specifically regarding the field of business and management, where the activities of the parties overlap, the decision-making practice retains an additional segmentation, between grandes écoles and other business schools. The reputation of grandes écoles with recruiters indeed makes them less substitutable with other market players. The attractiveness of grandes écoles (HEC, ESSEC, ESCP, etc.) gives these players significant market power vis-à-vis students, and an increase in their tuition fees would likely not decrease the number of candidates for entrance exams to these schools. By their positioning, these players seek to be competitive both against renowned international institutions (Harvard Business School, Stanford, etc.) and other French business schools.  </w:t>
        <w:br/>
        <w:t xml:space="preserve">c) Segmentation according to the duration of the study cycle  </w:t>
        <w:br/>
        <w:t xml:space="preserve">13. In addition to the field of specialization, the decision-making practice segments the market according to the duration of the study cycle. The duration of studies is indeed an important parameter in students' orientation choices. Commonly expressed in years post-baccalaureate (Bac+2, Bac+3, etc.), the duration of training refers to a level of qualification easily identifiable by recruiters as well as by students, and to which correspond types of employment and salary expectations in the labor market.  </w:t>
        <w:br/>
        <w:t xml:space="preserve">14. In terms of educational investment, various studies have noted that individuals' behavior could be modeled as the result of a cost-benefit calculation weighted by their probability of success, under the constraints of individual sociological data. This phenomenon of self-selection leads some students to favor a short training program in order to access the labor market more quickly, while others prefer to invest in a longer training program or maximize their chances of success by going through a preparatory class. Statistical studies conducted among high school graduates choosing short programs such as BTS or DUT reveal a genuine motivation for short studies. The distinction between long and short studies seems to be a determining criterion from the demand perspective.  </w:t>
        <w:br/>
        <w:t>15. In the field of business and management, schools offer two categories of degrees, at the Bac +3 level (which in some cases can go up to Bac +4).</w:t>
      </w:r>
    </w:p>
    <w:p>
      <w:r>
        <w:rPr>
          <w:b/>
        </w:rPr>
        <w:t>[Pages 4–6]</w:t>
      </w:r>
    </w:p>
    <w:p>
      <w:r>
        <w:t xml:space="preserve">generally titled "Bachelor of Business Administration" (hereinafter, "BBA") and at the Bac +5 level, of the Master's type.  </w:t>
        <w:br/>
        <w:t xml:space="preserve">d) Segmentation between public and private education  </w:t>
        <w:br/>
        <w:t xml:space="preserve">16. Finally, decision-making practice segments the markets for initial and alternating training according to the status of the institution, between public and private education.  </w:t>
        <w:br/>
        <w:t xml:space="preserve">17. The Authority first considers that the significant difference in tuition fees between public and private institutions constitutes an indication of non-substitutability and non-membership in the same market. A significant portion of high school graduates, moreover, dismisses the programs offered by private education solely due to tuition fees.  </w:t>
        <w:br/>
        <w:t xml:space="preserve">18. Furthermore, private higher education is perceived by some applicants as more qualitative in the way it supports the student, follows their progress, and teaches them a more professional and less theoretical knowledge than at university. These specificities mean that certain families, particularly in the commerce/management sector, almost automatically turn to the private sector.  </w:t>
        <w:br/>
        <w:t xml:space="preserve">19. However, the Authority notes that identifying the actors in the private sector is difficult given the heterogeneous legal statuses (public law institutions, associative structures, consular entities, private law companies, etc.) and situations (recognition or not by the State, accreditation or not of the diplomas awarded, public funding, etc.). The perception of applicants is also very vague. Consequently, decision-making practice is based solely on the criterion of the level of tuition fees, distinguishing higher education provided by universities (including IUTs) and public high schools (preparatory classes for grandes écoles, sections for higher technicians) from the rest of higher education.  </w:t>
        <w:br/>
        <w:t xml:space="preserve">2. GEOGRAPHICAL MARKET  </w:t>
        <w:br/>
        <w:t xml:space="preserve">20. Decision-making practice considers that while a national delimitation may be retained for the highly selective segments of the higher education market (grandes écoles in particular), the situation appears different for other market segments. It is based in this regard on analyses conducted with the public interested in short training, which show that attachment to the geographical environment of origin is one of the criteria for students' choice among institutions offering the desired specialty. The Authority thus conducts a dual analysis, at the national and regional levels. At the regional level, it has notably grouped the academies of Nantes, Rennes, and Caen within the same market.  </w:t>
        <w:br/>
        <w:t xml:space="preserve">21. In this case, the analysis will be conducted at the national level and at the level of the Île-de-France regions (academies of Paris, Versailles, and Créteil) and Auvergne Rhône-Alpes (academies of Lyon, Grenoble, and Clermont-Ferrand).  </w:t>
        <w:br/>
        <w:t xml:space="preserve">5 See the publications of the Directorate for Evaluation and Foresight of the Ministry of National Education, mentioned above.  </w:t>
        <w:br/>
        <w:t>4</w:t>
      </w:r>
    </w:p>
    <w:p>
      <w:r>
        <w:t xml:space="preserve">B. THE MARKET FOR CONTINUING PROFESSIONAL TRAINING  </w:t>
        <w:br/>
        <w:t xml:space="preserve">1. SERVICE MARKET  </w:t>
        <w:br/>
        <w:t xml:space="preserve">22. Continuing professional training is aimed at employees or job seekers who, although being the end users of training, do not often express direct demand and are rarely the direct purchasers of training courses. Demand more frequently comes from companies and public authorities, which are responsible for defining the profile of the beneficiary audiences. The training followed by adults for professional purposes also differs from that provided to younger audiences in an educational context, notably due to differences in age and expectations of trainees and the resulting differences in the presentation of teachings.  </w:t>
        <w:br/>
        <w:t xml:space="preserve">23. Decision-making practice has therefore made a distinction between continuing professional training and initial or alternating training. Within the market for continuing professional training, national decision-making practice has also considered segmenting the market for professional training according to intervention sectors while leaving the precise definition of these market segments open. However, a segmentation between private and public providers was not deemed appropriate.  </w:t>
        <w:br/>
        <w:t xml:space="preserve">2. GEOGRAPHICAL MARKET  </w:t>
        <w:br/>
        <w:t xml:space="preserve">24. Since the main operators of professional training are national, national decision-making practice has considered a national delimitation of the professional training market. A more restricted geographical delimitation has also been considered on the grounds that certain employment areas have specific training needs (notably tourist areas) and that the training demand from small and medium-sized enterprises is more likely to consider training offers at the local level.  </w:t>
        <w:br/>
        <w:t xml:space="preserve">III. Competitive Analysis  </w:t>
        <w:br/>
        <w:t xml:space="preserve">25. The effects of the operation on the markets for initial training (A) and continuing professional training (B) are analyzed successively below.  </w:t>
        <w:br/>
        <w:t xml:space="preserve">6 See the opinions of the Competition Council No. 00-A-31 of December 12, 2000, regarding a request for an opinion submitted by the Federation of Professional Training (FFP) and No. 08-A-10 of June 18, 2008, regarding a request for an opinion submitted by the Federation of Professional Training (FFP).  </w:t>
        <w:br/>
        <w:t xml:space="preserve">7 See the decision of the European Commission IV/M.1072 - Bertelsmann / Burda / Futurekids.  </w:t>
        <w:br/>
        <w:t xml:space="preserve">8 See in particular the decision of the Authority No. 10-DCC-79, mentioned above.  </w:t>
        <w:br/>
        <w:t xml:space="preserve">9 See the decision of the Authority No. 10-DCC-79, mentioned above, the letter from the Minister of Economy, Industry, and Employment No. C2008-107 of November 12, 2008, to the boards of the company CDC Capital Investissement, regarding a concentration in the sector of technical construction controls, and the decision No. 05-D-41 of July 18, 2005, regarding practices implemented by the national joint commission for employment and professional training of garden centers and seed companies.  </w:t>
        <w:br/>
        <w:t xml:space="preserve">10 See the decision of the Authority No. 10-DCC-79, mentioned above.  </w:t>
        <w:br/>
        <w:t xml:space="preserve">11 See the decision of the Authority No. 10-DCC-79, mentioned above, and the letter from the Minister of Economy C2008-107, mentioned above.  </w:t>
        <w:br/>
        <w:t>5</w:t>
      </w:r>
    </w:p>
    <w:p>
      <w:r>
        <w:t xml:space="preserve">A. MARKETS FOR INITIAL TRAINING  </w:t>
        <w:br/>
        <w:t xml:space="preserve">26. The activities of the parties overlap only in the markets for initial training in the field of commerce and business management.  </w:t>
        <w:br/>
        <w:t xml:space="preserve">27. In the markets for commerce/management training of Bac+5 type in Île-de-France, the new entity will hold a market share of [20-30]% for full-time training ([5-10]% for INSEEC and [10-20]% for the LIUF group) and [10-20]% for alternating training ([10-20]% for INSEEC and [0-5]% for the LIUF group). In these markets, the new entity will still face a significant number of operators, including notably Sudialis ([10-20]% market share for full-time training), Ionis ([10-20]% market share for full-time and alternating training), ISC ([5-10]% market share for full-time training), Novencia ([5-10]% and [0-5]% market shares for full-time and alternating training), and PPA ([10-20]% market share for alternating training). In other markets, the market share of the new entity will not exceed [10-20]%.  </w:t>
        <w:br/>
        <w:t xml:space="preserve">28. Consequently, the proposed operation is not likely to affect competition in the markets for full-time or alternating training.  </w:t>
        <w:br/>
        <w:t xml:space="preserve">B. THE MARKET FOR CONTINUING PROFESSIONAL TRAINING  </w:t>
        <w:br/>
        <w:t xml:space="preserve">29. In the market for continuing professional training, the cumulative market share of the parties does not exceed [0-5]%, regardless of the segmentation considered. The operation is therefore not likely to harm competition in this market.  </w:t>
        <w:br/>
        <w:t xml:space="preserve">DECIDES  </w:t>
        <w:br/>
        <w:t xml:space="preserve">Sole Article: The operation notified under number 16-084 is authorized.  </w:t>
        <w:br/>
        <w:t xml:space="preserve">The Vice-President,  </w:t>
        <w:br/>
        <w:t xml:space="preserve">Élisabeth Flüry-Hérard  </w:t>
        <w:br/>
        <w:t xml:space="preserve">© Competition Authority  </w:t>
        <w:br/>
        <w:t>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