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https://www.autoritedelaconcurrence.fr/fr/decision-de-controle-des-concentrations/relative-la-prise-de-controle-exclusif-de-la-societe-livry</w:t>
      </w:r>
    </w:p>
    <w:p>
      <w:r>
        <w:t>Pages translated : 2</w:t>
      </w:r>
    </w:p>
    <w:p/>
    <w:p>
      <w:r>
        <w:rPr>
          <w:b/>
        </w:rPr>
        <w:t>[Pages 1–2]</w:t>
      </w:r>
    </w:p>
    <w:p>
      <w:r>
        <w:t>FRENCH REPUBLIC</w:t>
        <w:br/>
        <w:t>Decision No. 19-DCC-05 of January 11, 2019</w:t>
        <w:br/>
        <w:t>regarding the exclusive control acquisition of the company Livry Auto Sport</w:t>
        <w:br/>
        <w:t>by the company GCA Investissements</w:t>
        <w:br/>
        <w:t>The Competition Authority,</w:t>
        <w:br/>
        <w:t>Having regard to the complete notification file sent to the mergers department on</w:t>
        <w:br/>
        <w:t>December 21, 2018, concerning the exclusive control acquisition of the company Livry Auto Sport by the</w:t>
        <w:br/>
        <w:t>company GCA Investissements, and materialized by a purchase promise dated</w:t>
        <w:br/>
        <w:t>November 26, 2018;</w:t>
        <w:br/>
        <w:t>Having regard to Book IV of the Commercial Code relating to the freedom of prices and competition, and</w:t>
        <w:br/>
        <w:t>notably its Articles L. 430-1 to L. 430-7;</w:t>
        <w:br/>
        <w:t>Having regard to the additional elements provided by the notifying party during the investigation;</w:t>
        <w:br/>
        <w:t>Adopts the following decision:</w:t>
        <w:br/>
        <w:t>1. The notified operation consists of the exclusive control acquisition by the company GCA</w:t>
        <w:br/>
        <w:t>Investissements, at the head of the CGA group, of the company Livry Auto Sport, which operates two</w:t>
        <w:br/>
        <w:t>Toyota brand car dealerships in Livry-Gargan (93) and Garges-lès-Gonesse (95).</w:t>
        <w:br/>
        <w:t>It constitutes a concentration operation within the meaning of Article L. 430-1 of the Commercial Code. Given the turnover achieved by the concerned companies,</w:t>
        <w:br/>
        <w:t>the operation does not fall under the jurisdiction of the European Union. On the other hand, the control thresholds related to retail trade mentioned in point II of Article L. 430-2 of the Commercial Code are exceeded. This operation is therefore subject to the provisions of Articles</w:t>
        <w:br/>
        <w:t>L. 430-3 and following of the Commercial Code relating to economic concentration.</w:t>
        <w:br/>
        <w:t>2. In light of the elements of the file, the operation is not likely to harm competition</w:t>
        <w:br/>
        <w:t>in the relevant markets.</w:t>
      </w:r>
    </w:p>
    <w:p>
      <w:r>
        <w:t>DECIDES</w:t>
        <w:br/>
        <w:t>Sole Article: The operation notified under number 18-296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