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https://www.autoritedelaconcurrence.fr/fr/decision-de-controle-des-concentrations/relative-la-prise-de-controle-exclusif-de-la-societe-loma</w:t>
      </w:r>
    </w:p>
    <w:p>
      <w:r>
        <w:t>Pages translated : 2</w:t>
      </w:r>
    </w:p>
    <w:p/>
    <w:p>
      <w:r>
        <w:rPr>
          <w:b/>
        </w:rPr>
        <w:t>[Pages 1–2]</w:t>
      </w:r>
    </w:p>
    <w:p>
      <w:r>
        <w:t xml:space="preserve">FRENCH REPUBLIC  </w:t>
        <w:br/>
        <w:t xml:space="preserve">Decision No. 21-DCC-01 of January 8, 2021  </w:t>
        <w:br/>
        <w:t xml:space="preserve">regarding the exclusive control acquisition of the company Loma by the company  </w:t>
        <w:br/>
        <w:t xml:space="preserve">Profidis  </w:t>
        <w:br/>
        <w:t xml:space="preserve">The Competition Authority,  </w:t>
        <w:br/>
        <w:t xml:space="preserve">Having regard to the complete notification file sent to the mergers department on  </w:t>
        <w:br/>
        <w:t xml:space="preserve">December 21, 2020, concerning the exclusive control acquisition of the company Loma by the company  </w:t>
        <w:br/>
        <w:t xml:space="preserve">Profidis, materialized by a share transfer promise dated December 9, 2020;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Profidis of the company  </w:t>
        <w:br/>
        <w:t xml:space="preserve">Loma, which operates, through its subsidiary Candis, a retail business primarily focused on food of the hypermarket type, with a surface area of 2,740 m² under the Carrefour Market brand, located in Saint-Flour (15). It constitutes a concentration operation within the meaning of Article L. 430-1 of the Commercial Code. Given the revenues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