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https://www.autoritedelaconcurrence.fr/fr/decision-de-controle-des-concentrations/relative-la-prise-de-controle-exclusif-de-la-societe-louis</w:t>
      </w:r>
    </w:p>
    <w:p>
      <w:r>
        <w:t>Pages translated : 2</w:t>
      </w:r>
    </w:p>
    <w:p/>
    <w:p>
      <w:r>
        <w:rPr>
          <w:b/>
        </w:rPr>
        <w:t>[Pages 1–2]</w:t>
      </w:r>
    </w:p>
    <w:p>
      <w:r>
        <w:t xml:space="preserve">FRENCH REPUBLIC  </w:t>
        <w:br/>
        <w:t xml:space="preserve">Decision No. 25-DCC-93 of April 25, 2025  </w:t>
        <w:br/>
        <w:t xml:space="preserve">regarding the exclusive control acquisition of the company Louis Schroll by the  </w:t>
        <w:br/>
        <w:t xml:space="preserve">company Remondis  </w:t>
        <w:br/>
        <w:t xml:space="preserve">The Competition Authority,  </w:t>
        <w:br/>
        <w:t xml:space="preserve">Having regard to the complete notification file submitted to the mergers department on March 21, 2025,  </w:t>
        <w:br/>
        <w:t xml:space="preserve">concerning the exclusive control acquisition of the company Louis Schroll by the company Remondis,  </w:t>
        <w:br/>
        <w:t xml:space="preserve">formalized by a share transfer agreement signed on January 21,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Remondis, ultimately controlled by  </w:t>
        <w:br/>
        <w:t xml:space="preserve">Remondis International, a subsidiary of the Rethmann group, of 80% of the share capital of the company  </w:t>
        <w:br/>
        <w:t xml:space="preserve">Louis Schroll, which heads a group of companies that are notably active in the waste management sector.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25-020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