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17-DCC-36 of March 23, 2017  </w:t>
        <w:br/>
        <w:t xml:space="preserve">regarding the exclusive control acquisition by the company Abénex Capital of  </w:t>
        <w:br/>
        <w:t>the company LP Promotion</w:t>
      </w:r>
    </w:p>
    <w:p>
      <w:r>
        <w:t>The Competition Authority,</w:t>
      </w:r>
    </w:p>
    <w:p>
      <w:r>
        <w:t xml:space="preserve">Having regard to the notification file submitted in full to the mergers department on March 10, 2017,  </w:t>
        <w:br/>
        <w:t xml:space="preserve">concerning the exclusive control acquisition of the company LP Promotion by the company Abénex Capital,  </w:t>
        <w:br/>
        <w:t>formalized by a transfer and acquisition agreement dated February 3, 2017;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the company Abénex Capital,  </w:t>
        <w:br/>
        <w:t xml:space="preserve">active in the private equity sector, of the company LP Promotion and most of its subsidiaries,  </w:t>
        <w:br/>
        <w:t xml:space="preserve">active in the real estate development sector. It constitutes a concentration operation within the meaning of  </w:t>
        <w:br/>
        <w:t xml:space="preserve">Article L. 430-1 of the Commercial Code. Given the turnover generated by the companies concerned,  </w:t>
        <w:br/>
        <w:t xml:space="preserve">the operation does not fall under the jurisdiction of the European Union. However, the control thresholds  </w:t>
        <w:br/>
        <w:t xml:space="preserve">mentioned in point I of Article L. 430-2 of the Commercial Code are exceeded. This operation is therefore  </w:t>
        <w:br/>
        <w:t xml:space="preserve">subject to the provisions of Articles L. 430-3 and following of the Commercial Code relating to economic  </w:t>
        <w:br/>
        <w:t>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17-033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