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https://www.autoritedelaconcurrence.fr/fr/decision-de-controle-des-concentrations/relative-la-prise-de-controle-exclusif-de-la-societe-lri</w:t>
      </w:r>
    </w:p>
    <w:p>
      <w:r>
        <w:t>Pages translated : 2</w:t>
      </w:r>
    </w:p>
    <w:p/>
    <w:p>
      <w:r>
        <w:rPr>
          <w:b/>
        </w:rPr>
        <w:t>[Pages 1–2]</w:t>
      </w:r>
    </w:p>
    <w:p>
      <w:r>
        <w:t xml:space="preserve">FRENCH REPUBLIC  </w:t>
        <w:br/>
        <w:t xml:space="preserve">Decision No. 16-DCC-85 of June 15, 2016  </w:t>
        <w:br/>
        <w:t xml:space="preserve">regarding the exclusive control acquisition of the company LRI by the company Orfite  </w:t>
        <w:br/>
        <w:t>The Competition Authority,</w:t>
      </w:r>
    </w:p>
    <w:p>
      <w:r>
        <w:t>Having regard to the complete notification file submitted to the mergers department on May 23, 2016, concerning the exclusive control acquisition of the company LRI by the company Orfite, materialized by a share transfer agreement dated May 18, 2016;</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company LRI, active in the sector of fluid control product distribution, by the investment company Orfite.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16-090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