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https://www.autoritedelaconcurrence.fr/fr/decision-de-controle-des-concentrations/relative-la-prise-de-controle-exclusif-de-la-societe-lutti</w:t>
      </w:r>
    </w:p>
    <w:p>
      <w:r>
        <w:t>Pages translated : 6</w:t>
      </w:r>
    </w:p>
    <w:p/>
    <w:p>
      <w:r>
        <w:rPr>
          <w:b/>
        </w:rPr>
        <w:t>[Pages 1–3]</w:t>
      </w:r>
    </w:p>
    <w:p>
      <w:r>
        <w:t xml:space="preserve">FRENCH REPUBLIC  </w:t>
        <w:br/>
        <w:t xml:space="preserve">Decision No. 18-DCC-176 of October 25, 2018  </w:t>
        <w:br/>
        <w:t xml:space="preserve">regarding the exclusive control of Lutti Holdings by  </w:t>
        <w:br/>
        <w:t>the company CPK</w:t>
      </w:r>
    </w:p>
    <w:p>
      <w:r>
        <w:t xml:space="preserve">The Competition Authority,  </w:t>
        <w:br/>
        <w:t xml:space="preserve">Having regard to the notification file submitted in full to the merger service on September 20, 2018, regarding the exclusive control of Lutti Holdings by the company CPK, formalized by a memorandum of understanding signed on June 29, 2018;  </w:t>
        <w:br/>
        <w:t xml:space="preserve">Having regard to Book IV of the Commercial Code relating to the freedom of prices and competition, and in particular its Articles L. 430-1 to L. 430-7;  </w:t>
        <w:br/>
        <w:t xml:space="preserve">Having regard to the supplementary elements transmitted by the party during the investigation;  </w:t>
        <w:br/>
        <w:t>Adopts the following decision:</w:t>
      </w:r>
    </w:p>
    <w:p>
      <w:r>
        <w:t xml:space="preserve">I. The companies concerned  </w:t>
        <w:br/>
        <w:t xml:space="preserve">1. CPK is a subsidiary of the Eurazeo group created to group a portfolio of European brands of chocolate-based products, candies, chocolate drinks, and chewing gums. CPK is 90% owned by Eurazeo and its affiliates. Eurazeo is a publicly traded investment company whose investments are in the sectors of private equity, real estate, and listed companies. The shareholders of Eurazeo are several natural and legal persons, none of whom can exercise a decisive influence over its strategic decisions.  </w:t>
        <w:br/>
        <w:t>2. Lutti Holdings (hereinafter, "Lutti") is active in the design, manufacture, and marketing of candies and chocolates primarily in France and Belgium under the Lutti brand. Lutti is currently owned and controlled, through the company HVS, by the Katjes Group, which is predominantly owned and under the exclusive control of the [X] family. Furthermore, under a distribution agreement with Katjes, Lutti markets Vicks products (candies and medicinal lozenges sold in pharmacies and para-pharmacies) in France.</w:t>
      </w:r>
    </w:p>
    <w:p>
      <w:r>
        <w:t xml:space="preserve">3. The operation, formalized by a memorandum of understanding dated June 29, 2018, consists of the acquisition by CPK of the entire share capital and voting rights of the company Lutti.  </w:t>
        <w:br/>
        <w:t xml:space="preserve">4. As it results in the exclusive control of Lutti by CPK, the notified operation constitutes a concentration within the meaning of Article L. 430-1 of the Commercial Code.  </w:t>
        <w:br/>
        <w:t>5. The companies concerned together achieve a total worldwide turnover excluding taxes of more than 150 million euros (CPK*: [&gt; 150 million] euros for the fiscal year ending December 31, 2017; Lutti: [&gt; 50 million] for the fiscal year ending December 31, 2017). Each of these companies has achieved a turnover in France exceeding 50 million euros (CPK: [&gt; 50 million] euros for the fiscal year ending December 31, 2017; Lutti: [&gt; 50 million] for the fiscal year ending December 31, 2017).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6. CPK and Lutti operate simultaneously in the markets for the manufacture and marketing of chocolate-based confectionery (1), as well as in the markets for the manufacture and marketing of sugar-based confectionery (2).</w:t>
      </w:r>
    </w:p>
    <w:p>
      <w:r>
        <w:t xml:space="preserve">A. THE MARKETS FOR THE MANUFACTURE AND MARKETING OF  </w:t>
        <w:br/>
        <w:t xml:space="preserve">CHOCOLATE-BASED CONFECTIONERY  </w:t>
        <w:br/>
        <w:t xml:space="preserve">1. PRODUCT MARKETS  </w:t>
        <w:br/>
        <w:t xml:space="preserve">7. The competition authorities distinguish the markets for chocolate confectionery from those for sugar confectionery.  </w:t>
        <w:br/>
        <w:t xml:space="preserve">8. Within the chocolate confectionery markets, decision-making practice operates a segmentation by type of products. National decision-making practice thus distinguishes the market for chocolate bars, the market for chocolate rocks, the market for bars, and the market for boxed chocolate confectioneries. The European Commission, for its part, distinguishes between chocolate bars, chocolate tablets, and pralines. National decision-making practice has also considered, while leaving the question open, a segmentation between permanent products and seasonal products.  </w:t>
        <w:br/>
        <w:t xml:space="preserve">9. The question of a segmentation of the chocolate confectionery markets based on the distribution channel has also arisen. Chocolate confectioneries are distributed through four distribution channels: (i) large retail chains (GMS), (ii) out-of-home catering (RHD), which also includes non-specialized bakery-pastry shops, (iii) merchants specialized in chocolate, and (iv) artisan chocolatiers. Specialized merchants or artisan chocolatiers produce the products themselves, which they then sell to the final consumer. Only the GMS and RHD are therefore likely to be supplied by the parties.  </w:t>
        <w:br/>
        <w:t xml:space="preserve">10. Finally, decision-making practice has considered a segmentation of the chocolate confectionery market sold in GMS based on the commercial positioning of the product. It has thus distinguished products sold under MDF from those sold under MDD/MPP, emphasizing that this distinction is justified by the existence of well-known brands, which are subject to significant advertising expenditures, and by supply modalities that diverge according to the commercial positioning of the products (MDF, MDD/MPP).  </w:t>
        <w:br/>
        <w:t xml:space="preserve">11. In this case, CPK manufactures and markets chocolate tablets, rocks, and boxes under MDF for GMS and RHD (including wholesalers). For RHD, CPK also manufactures and markets seasonal products. CPK has no activity in MDD.  </w:t>
        <w:br/>
        <w:t xml:space="preserve">12. Lutti manufactures and markets, in an extremely marginal way, chocolate-based confectioneries under MDF and MDD to GMS and RHD.  </w:t>
        <w:br/>
        <w:t xml:space="preserve">13. The parties are therefore simultaneously present in the channels of GMS and RHD.  </w:t>
        <w:br/>
        <w:t>14. The question of the precise delimitation of these markets can be left open insofar as the conclusions of the competitive analysis remain unchanged regardless of the segmentation retained.</w:t>
      </w:r>
    </w:p>
    <w:p>
      <w:r>
        <w:t xml:space="preserve">2. GEOGRAPHICAL MARKETS  </w:t>
        <w:br/>
        <w:t>15. The national and European competition authorities have, while leaving the question open, analyzed the chocolate confectionery markets at the national level. National decision-making practice relies in particular on differences in manufacturing recipes, quality standards, presentation, and sometimes brands according to countries. In this case, there is no reason to challenge this practice.</w:t>
      </w:r>
    </w:p>
    <w:p>
      <w:r>
        <w:rPr>
          <w:b/>
        </w:rPr>
        <w:t>[Pages 4–6]</w:t>
      </w:r>
    </w:p>
    <w:p>
      <w:r>
        <w:t>B. THE MARKETS FOR THE MANUFACTURE AND MARKETING OF SUGAR-BASED CONFECTIONERY</w:t>
      </w:r>
    </w:p>
    <w:p>
      <w:r>
        <w:t>1. PRODUCT MARKETS</w:t>
      </w:r>
    </w:p>
    <w:p>
      <w:r>
        <w:t>16. Within the sugar-based confectionery markets, national decision-making practice13 distinguishes according to distribution channels. It thus identifies two distinct markets for large retail chains (short circuit) and small shops (bakeries-confectioneries, grocery stores, tobacconists, service stations...), which are supplied through wholesalers (long circuit). This distinction is based in particular on the difference in the types of actors involved in the supply chain, the resale prices to consumers, and the behavior of these consumers according to the distribution channel.</w:t>
      </w:r>
    </w:p>
    <w:p>
      <w:r>
        <w:t>17. Within each of these circuits, national decision-making practice14 has also segmented the market by type of products: bagged products, pocket confectionery, and gums. It justified this distinction particularly due to the disparity in consumer demand in terms of product, packaging (volumes are most often packaged in units of 90 grams in bags compared to units of approximately 300 to 350 grams in sachets), and type of purchase (impulse purchases or not).</w:t>
      </w:r>
    </w:p>
    <w:p>
      <w:r>
        <w:t>18. The Commission also considered a segmentation of the sugar confectionery market by type of products: hard candies, gums, and other candies15. However, it left this question open.</w:t>
      </w:r>
    </w:p>
    <w:p>
      <w:r>
        <w:t>19. CPK manufactures and markets bagged sugar-based confectioneries, pocket confectioneries, and chewing gums to large retail chains (only under MDF) and to out-of-home catering (including wholesalers).</w:t>
      </w:r>
    </w:p>
    <w:p>
      <w:r>
        <w:t>20. Lutti manufactures and markets bagged sugar-based confectioneries (under MDF and MDD) to large retail chains and to a lesser extent to out-of-home catering (including wholesalers). Lutti also manufactures and markets, on a marginal basis, chewing gums to large retail chains under MDF and to out-of-home catering. Finally, Lutti manufactures and markets a small quantity of pocket confectioneries to out-of-home catering.</w:t>
      </w:r>
    </w:p>
    <w:p>
      <w:r>
        <w:t>21. The parties are therefore simultaneously present in the channels of large retail chains (bags and chewing gums) and out-of-home catering (bags, pocket confectionery, and chewing gums).</w:t>
      </w:r>
    </w:p>
    <w:p>
      <w:r>
        <w:t>22. In this case, the question of the precise delimitation of these markets can also be left open in the present case as the conclusions of the competitive analysis remain unchanged regardless of the segmentation adopted.</w:t>
      </w:r>
    </w:p>
    <w:p>
      <w:r>
        <w:t>2. GEOGRAPHICAL MARKETS</w:t>
      </w:r>
    </w:p>
    <w:p>
      <w:r>
        <w:t>23. National and European competition authorities have considered that the sugar confectionery markets are of national dimension16. The Commission notably highlighted the importance of national brands despite the growing development of international brands, the differences in market shares of operators from one country to another, and the fact that product prices are determined by manufacturers at the national level. In this case, there is no reason to challenge this practice.</w:t>
      </w:r>
    </w:p>
    <w:p>
      <w:r>
        <w:t>III. The Competitive Analysis</w:t>
      </w:r>
    </w:p>
    <w:p>
      <w:r>
        <w:t>24. The parties are simultaneously active in the markets for the manufacture and marketing of chocolate confectioneries as well as in the markets for the manufacture and marketing of sugar-based confectioneries.</w:t>
      </w:r>
    </w:p>
    <w:p>
      <w:r>
        <w:t>25. In the markets for the manufacture and marketing of chocolate confectioneries, the combined market shares of the parties remain below 5%, regardless of the business segment considered, except for the segment of chocolate rocks. More specifically, regarding the chocolate rocks marketed in large retail chains, the combined market share of the parties is nearly [10-20]%, with an incremental activity contributed by Lutti of less than [0-5]%. In all these markets, the parties will face competition from major groups, such as Ferrero or Lindt &amp; Sprungli, which have significantly higher market shares.</w:t>
      </w:r>
    </w:p>
    <w:p>
      <w:r>
        <w:t>26. In the overall market for the manufacture and marketing of sugar-based confectioneries, the market share of the parties is nearly [20-30]%, with an incremental activity contributed by Lutti of [5-10]%.</w:t>
      </w:r>
    </w:p>
    <w:p>
      <w:r>
        <w:t>27. More specifically regarding sugar-based confectioneries marketed in large retail chains, the parties are simultaneously present in the segment of bagged candies as well as in the segment of chewing gums. In this latter segment, market shares remain low in both MDD and MDF, with totals not exceeding [5-10]% and an almost negligible increment. In contrast, in the market for bagged candies, the totals are more significant. The market shares of the parties are nearly [20-30]% for all bags distributed in large retail chains, with an incremental activity contributed by Lutti of nearly [10-20]%; however, the parties are only simultaneously present in the MDF segment in large retail chains, where their combined market share is nearly [30-40]%. In this latter segment, the incremental activity contributed by Lutti reaches nearly [10-20]%. Although these market shares are relatively significant, it should be noted that Haribo will remain the sector leader with a market share exceeding 47%. The new entity will also face competition from Solinvest, Ferrero, or Mondelez.</w:t>
      </w:r>
    </w:p>
    <w:p>
      <w:r>
        <w:t>28. In the segment of sugar-based confectioneries marketed in out-of-home catering, the parties estimate that their market share does not exceed 20%, regardless of the segmentation adopted. They also estimate that in this same market, Haribo has a market share exceeding 20%.</w:t>
      </w:r>
    </w:p>
    <w:p>
      <w:r>
        <w:t>29. Beyond the presence of a significant number of competitors, with Haribo being the leading sector player, it should be noted that the parties' main customers are large retail chains that have strong negotiating power.</w:t>
      </w:r>
    </w:p>
    <w:p>
      <w:r>
        <w:t>30. Given these elements, the notified operation is not likely to harm competition through horizontal effects.</w:t>
      </w:r>
    </w:p>
    <w:p>
      <w:r>
        <w:t>DECIDES</w:t>
      </w:r>
    </w:p>
    <w:p>
      <w:r>
        <w:t xml:space="preserve">Article unique: The operation notified under number 18-191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