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https://www.autoritedelaconcurrence.fr/fr/decision-de-controle-des-concentrations/relative-la-prise-de-controle-exclusif-de-la-societe-lvdis</w:t>
      </w:r>
    </w:p>
    <w:p>
      <w:r>
        <w:t>Pages translated : 5</w:t>
      </w:r>
    </w:p>
    <w:p/>
    <w:p>
      <w:r>
        <w:rPr>
          <w:b/>
        </w:rPr>
        <w:t>[Pages 1–3]</w:t>
      </w:r>
    </w:p>
    <w:p>
      <w:r>
        <w:t>FRENCH REPUBLIC</w:t>
        <w:br/>
        <w:t>Decision No. 10-DCC-0120 of September 22, 2010</w:t>
        <w:br/>
        <w:t>regarding the exclusive control of LVDIS by Carrefour France</w:t>
        <w:br/>
        <w:t>The Competition Authority,</w:t>
        <w:br/>
        <w:t>Having regard to the notification file sent to the merger service on August 19, 2010, and declared complete on the same date, regarding the exclusive control of LVDIS by Carrefour France;</w:t>
        <w:br/>
        <w:t>Having regard to Book IV of the Commercial Code relating to the freedom of prices and competition, and in particular Articles L. 430-1 to L. 430-7;</w:t>
        <w:br/>
        <w:t>Adopts the following decision:</w:t>
        <w:br/>
        <w:t>I. The companies concerned and the operation</w:t>
        <w:br/>
        <w:t>1. The Carrefour group is active in food-dominant distribution. In France, it operates hypermarkets under the Carrefour and Champion brands and supermarkets under the Champion and Carrefour Market brands. It also operates convenience stores under the Shopi, 8 à huit, Marché Plus, Sherpa, Proxi brands and discount stores under the Ed and Dia brands. In 2009, the Carrefour group achieved a total worldwide turnover excluding taxes of approximately 86 billion euros, of which approximately 34 billion euros in France. Carrefour France is a simplified joint-stock company, a subsidiary of the Carrefour group. It achieved a turnover of 287 million euros in the last closed financial year.</w:t>
        <w:br/>
        <w:t>2. LVDIS is a public limited company, 50% owned by the Carrefour group. The remaining capital is held directly or indirectly by the Liotard family. LVDIS is the owner and operator of a hypermarket under the "Carrefour" brand in Issoire (63). It achieved a total turnover excluding taxes of 68.7 million euros in the last closed financial year.</w:t>
        <w:br/>
        <w:t>3. According to the share transfer protocol under suspensive conditions signed by the parties on July 22, 2010, the Liotard family undertakes to transfer all of its shares to Carrefour France. LVDIS, currently jointly controlled by the Carrefour group and the Liotard family, will therefore, at the end of the operation, be exclusively controlled by the Carrefour group. This change of control constitutes a concentration under the terms of Article L. 430-1 of the Commercial Code.</w:t>
        <w:br/>
        <w:t>4. Given the turnover of the companies concerned, the operation does not have a Community dimension. However, the control thresholds related to retail trade mentioned in point II of Article L. 430-2 of the Commercial Code are exceeded. Therefore, the present operation is subject to the provisions of Articles L. 430-3 and following of the Commercial Code relating to economic concentration.</w:t>
        <w:br/>
        <w:t>II. Delimitation of Relevant Markets</w:t>
        <w:br/>
        <w:t>5. According to the consistent practice of national and Community competition authorities, two categories of markets can be delineated in the food-dominant distribution sector. These are, on the one hand, the "downstream" markets, of local dimension, which bring together retail businesses and consumers for the sale of consumer goods and, on the other hand, the "upstream" markets for supplying retail businesses with everyday consumer goods, of national dimension.</w:t>
        <w:br/>
        <w:t>A. DOWNSTREAM MARKETS OF DISTRIBUTION</w:t>
        <w:br/>
        <w:t>1. SERVICE MARKETS</w:t>
        <w:br/>
        <w:t>6.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large discounters, (vi) mail order sales.</w:t>
        <w:br/>
        <w:t>7. Hypermarkets are usually defined as food-dominant stores with a sales area exceeding 2,500 m². However, it should be noted that these thresholds must be used with caution and may be adapted to the specific case, given that stores whose area is close to a threshold, whether below or above, may be in direct competition with the facts.</w:t>
        <w:br/>
        <w:t>8. In this case, the acquired store currently occupies a sales area of 7,500 m². It therefore falls into the category of hypermarkets.</w:t>
        <w:br/>
        <w:t>1 See in particular the decisions of the Commission M.496 Intermarché/Spar of June 30, 1997, M.991 Promodès/Casino of October 30, 1997, and M.1684 Carrefour/Promodès of January 25, 2000. See also the ministerial order of July 5, 2000, in the Carrefour/Promodès operation and the opinions of the Competition Authority No. 97-A-14 of July 1, 1997, in the Carrefour/Coran case, No. 98-A-06 of May 5, 1998, in the Casino Franprix/Leader Price case, and No. 00-A-06 of May 3, 2000, in the Carrefour/Promodès case.</w:t>
        <w:br/>
        <w:t>2 Decisions of the Commission in the cases M.1221 Rewe/Meinl of February 3, 1999, M.1684 Carrefour/Promodès of January 25, 2000, and M.2115 Carrefour/GB of September 28, 2000. See also the decision C.2005-98 Carrefour/Penny market of November 10, 2005.</w:t>
        <w:br/>
        <w:t>3 Decisions C.2008-32 Amidis SAGC of July 9, 2008, C.2007-172 Carrefour Plane Plamidis of February 13, 2008, C.2007-154 Système U Vergali of December 3, 2007, C.2007-05 Carrefour Sofadi of March 26, 2007, C.2006-15 Amidis Hamon of April 14, 2006, C.2005-98 Carrefour Penny Market of November 10, 2005;</w:t>
        <w:br/>
        <w:t>2</w:t>
      </w:r>
    </w:p>
    <w:p>
      <w:r>
        <w:t>2. GEOGRAPHICAL DELIMITATION</w:t>
        <w:br/>
        <w:t>9. In its recent decisions concerning operations involving hypermarkets or supermarkets, the Competition Authority has reiterated that, depending on the size of the stores involved, the conditions of competition should be assessed in two different areas:</w:t>
        <w:br/>
        <w:t>- a first market where the demand of consumers from an area meets the supply of hypermarkets accessible to them within less than 30 minutes by car and which are, from their perspective,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br/>
        <w:t>10. Other criteria may nevertheless be taken into account to assess the impact of a concentration on the competitive situation in retail distribution markets, which may lead to refining, in the specific case, the usual delimitations presented above.</w:t>
        <w:br/>
        <w:t>11. In this case, the store concerned by the operation is a hypermarket since its area is 7,500 m². The competitive analysis will therefore focus on a first market comprising hypermarkets located within a 30-minute radius around Issoire and on a second market including all hypermarkets, supermarkets, and large discounters located within a 15-minute radius around the same city.</w:t>
        <w:br/>
        <w:t>B. UPSTREAM SUPPLY MARKET</w:t>
        <w:br/>
        <w:t>12. Regarding supply markets, the European Commission has recognized the existence of markets of national dimension by major product groups, a delimitation followed by national authorities.</w:t>
        <w:br/>
        <w:t>13. There is no reason to challenge this delimitation in the context of the present operation.</w:t>
        <w:br/>
        <w:t>4 See in particular the decisions 09-DCC-24 of July 23, 2009, Floritine/CSF; 09-DCC-10 of May 28, 2009, Frandis/Financière Perdis; 09-DCC-06 of May 20, 2009, Evolis/ITM; 09-DCC-04 of April 29, 2009, Carrefour/Noukat.</w:t>
        <w:br/>
        <w:t>5 See the decisions of the Commission M.1684 Carrefour/Promodès of January 25, 2000, and M.2115 Carrefour/GB of September 28, 2000.</w:t>
        <w:br/>
        <w:t>6 See in particular the decisions of the minister in the sector, C.2005-98 Carrefour/Penny Market of November 10, 2005, C.2006-15 Carrefour/Groupe Hamon of April 14, 2006, C.2007-172 relating to the creation of the joint venture Plamidis of February 13, 2008, and C.2008-32 Carrefour/SAGC of July 9, 2008.</w:t>
      </w:r>
    </w:p>
    <w:p>
      <w:r>
        <w:rPr>
          <w:b/>
        </w:rPr>
        <w:t>[Pages 4–5]</w:t>
      </w:r>
    </w:p>
    <w:p>
      <w:r>
        <w:t xml:space="preserve">III. Competitive Analysis  </w:t>
        <w:br/>
        <w:t xml:space="preserve">A. DOWNSTREAM MARKET OF DISTRIBUTION  </w:t>
        <w:br/>
        <w:t xml:space="preserve">14. In the market comprising hypermarkets located within a 30-minute driving catchment area around Issoire, the hypermarket operated by Carrefour currently represents 9% of the sales area. An extension authorization has been obtained for this sales point, which will increase its market share to 9.7%. Considering the two other Carrefour hypermarkets located in the same area, the group holds a cumulative market share of 22.7% in this catchment area.  </w:t>
        <w:br/>
        <w:t xml:space="preserve">15. These stores face competition in this area from eight other hypermarkets, including two under the Auchan brand (25% of the sales area) and three under the Leclerc brand (21% of the sales area).  </w:t>
        <w:br/>
        <w:t xml:space="preserve">16. In the market comprising hypermarkets, supermarkets, and other equivalent forms of commerce located within a 15-minute driving catchment area around Issoire, the Carrefour operated by LVDIS will represent, with the planned extension, 42% of the sales area. Considering the presence in the same area of a Carrefour Market and an ED, the sales points under the Carrefour brand will total 63% of the sales area. Also present in this area are the Casino group (14% of the sales area), ITM (12%), Système U (8%), Auchan (4%), and Aldi (4%).  </w:t>
        <w:br/>
        <w:t xml:space="preserve">17. The stores under brands owned by the Carrefour group therefore hold a high market share in the area considered. However, the present operation does not affect the distribution of market shares between brands in the area, as the store concerned was already, prior to the operation, jointly controlled by the Carrefour group and operated under the Carrefour brand.  </w:t>
        <w:br/>
        <w:t xml:space="preserve">B. UPSTREAM SUPPLY MARKET  </w:t>
        <w:br/>
        <w:t xml:space="preserve">18. Regarding the upstream supply markets, the operation, which concerns only one store, is not likely to significantly strengthen the purchasing power of the Carrefour group, across all products as well as by major product groups.  </w:t>
        <w:br/>
        <w:t>19. Consequently, the operation is not likely to harm competition both in the downstream market and in the upstream market of distribution.</w:t>
      </w:r>
    </w:p>
    <w:p>
      <w:r>
        <w:t xml:space="preserve">DECIDES  </w:t>
        <w:br/>
        <w:t xml:space="preserve">Single Article: The operation notified under number 10-0136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